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67FE" w:rsidRDefault="00C867FE" w:rsidP="00C867FE">
      <w:pPr>
        <w:jc w:val="center"/>
      </w:pPr>
      <w:bookmarkStart w:id="0" w:name="_GoBack"/>
      <w:bookmarkEnd w:id="0"/>
    </w:p>
    <w:tbl>
      <w:tblPr>
        <w:tblW w:w="0" w:type="auto"/>
        <w:tblLook w:val="04A0" w:firstRow="1" w:lastRow="0" w:firstColumn="1" w:lastColumn="0" w:noHBand="0" w:noVBand="1"/>
      </w:tblPr>
      <w:tblGrid>
        <w:gridCol w:w="5005"/>
        <w:gridCol w:w="5006"/>
      </w:tblGrid>
      <w:tr w:rsidR="00C867FE" w:rsidTr="00B36D33">
        <w:tc>
          <w:tcPr>
            <w:tcW w:w="10011" w:type="dxa"/>
            <w:gridSpan w:val="2"/>
            <w:vAlign w:val="center"/>
          </w:tcPr>
          <w:p w:rsidR="00C867FE" w:rsidRPr="00C867FE" w:rsidRDefault="00C867FE" w:rsidP="00B36D33">
            <w:pPr>
              <w:jc w:val="center"/>
              <w:rPr>
                <w:b/>
              </w:rPr>
            </w:pPr>
            <w:r w:rsidRPr="00C867FE">
              <w:rPr>
                <w:b/>
              </w:rPr>
              <w:t>Informazioni generali sull’</w:t>
            </w:r>
            <w:r w:rsidR="00C57C08">
              <w:rPr>
                <w:b/>
              </w:rPr>
              <w:t>ente</w:t>
            </w:r>
          </w:p>
        </w:tc>
      </w:tr>
      <w:tr w:rsidR="00C867FE" w:rsidTr="00B36D33">
        <w:tc>
          <w:tcPr>
            <w:tcW w:w="10011" w:type="dxa"/>
            <w:gridSpan w:val="2"/>
            <w:vAlign w:val="center"/>
          </w:tcPr>
          <w:p w:rsidR="00C867FE" w:rsidRPr="00C867FE" w:rsidRDefault="00C867FE" w:rsidP="00B36D33">
            <w:pPr>
              <w:jc w:val="center"/>
              <w:rPr>
                <w:rFonts w:ascii="Calibri" w:hAnsi="Calibri"/>
              </w:rPr>
            </w:pPr>
            <w:r w:rsidRPr="00C867FE">
              <w:t>Dati anagrafici</w:t>
            </w:r>
          </w:p>
        </w:tc>
      </w:tr>
      <w:tr w:rsidR="00C867FE" w:rsidTr="00B36D33">
        <w:tc>
          <w:tcPr>
            <w:tcW w:w="5005" w:type="dxa"/>
            <w:vAlign w:val="center"/>
          </w:tcPr>
          <w:p w:rsidR="00C867FE" w:rsidRPr="00C867FE" w:rsidRDefault="00C867FE" w:rsidP="00B36D33">
            <w:pPr>
              <w:jc w:val="right"/>
            </w:pPr>
            <w:r w:rsidRPr="00C867FE">
              <w:t>Denominazione:</w:t>
            </w:r>
          </w:p>
        </w:tc>
        <w:tc>
          <w:tcPr>
            <w:tcW w:w="5006" w:type="dxa"/>
            <w:vAlign w:val="center"/>
          </w:tcPr>
          <w:p w:rsidR="00C867FE" w:rsidRPr="007A215B" w:rsidRDefault="007A215B" w:rsidP="00B36D33">
            <w:r w:rsidRPr="007A215B">
              <w:t>FONDAZIONE ART4SPORT ETS</w:t>
            </w:r>
          </w:p>
        </w:tc>
      </w:tr>
      <w:tr w:rsidR="00C867FE" w:rsidTr="00B36D33">
        <w:tc>
          <w:tcPr>
            <w:tcW w:w="5005" w:type="dxa"/>
            <w:vAlign w:val="center"/>
          </w:tcPr>
          <w:p w:rsidR="00C867FE" w:rsidRPr="00C867FE" w:rsidRDefault="00C867FE" w:rsidP="00B36D33">
            <w:pPr>
              <w:jc w:val="right"/>
            </w:pPr>
            <w:r w:rsidRPr="00C867FE">
              <w:t>Sede:</w:t>
            </w:r>
          </w:p>
        </w:tc>
        <w:tc>
          <w:tcPr>
            <w:tcW w:w="5006" w:type="dxa"/>
            <w:vAlign w:val="center"/>
          </w:tcPr>
          <w:p w:rsidR="00C867FE" w:rsidRPr="007A215B" w:rsidRDefault="0042089B" w:rsidP="00B36D33">
            <w:r>
              <w:t>Via G. Matteotti 8/C MOGLIANO VENETO TV</w:t>
            </w:r>
          </w:p>
        </w:tc>
      </w:tr>
      <w:tr w:rsidR="00C867FE" w:rsidTr="00B36D33">
        <w:tc>
          <w:tcPr>
            <w:tcW w:w="5005" w:type="dxa"/>
            <w:vAlign w:val="center"/>
          </w:tcPr>
          <w:p w:rsidR="00C867FE" w:rsidRPr="00C867FE" w:rsidRDefault="00C867FE" w:rsidP="00B36D33">
            <w:pPr>
              <w:jc w:val="right"/>
            </w:pPr>
            <w:r w:rsidRPr="00C867FE">
              <w:t>Partita IVA:</w:t>
            </w:r>
          </w:p>
        </w:tc>
        <w:tc>
          <w:tcPr>
            <w:tcW w:w="5006" w:type="dxa"/>
            <w:vAlign w:val="center"/>
          </w:tcPr>
          <w:p w:rsidR="00C867FE" w:rsidRPr="007A215B" w:rsidRDefault="00C867FE" w:rsidP="00B36D33"/>
        </w:tc>
      </w:tr>
      <w:tr w:rsidR="00C867FE" w:rsidTr="00B36D33">
        <w:tc>
          <w:tcPr>
            <w:tcW w:w="5005" w:type="dxa"/>
            <w:vAlign w:val="center"/>
          </w:tcPr>
          <w:p w:rsidR="00C867FE" w:rsidRPr="00C867FE" w:rsidRDefault="00C867FE" w:rsidP="00B36D33">
            <w:pPr>
              <w:jc w:val="right"/>
            </w:pPr>
            <w:r w:rsidRPr="00C867FE">
              <w:t>Codice fiscale:</w:t>
            </w:r>
          </w:p>
        </w:tc>
        <w:tc>
          <w:tcPr>
            <w:tcW w:w="5006" w:type="dxa"/>
            <w:vAlign w:val="center"/>
          </w:tcPr>
          <w:p w:rsidR="00C867FE" w:rsidRPr="007A215B" w:rsidRDefault="007A215B" w:rsidP="00B36D33">
            <w:r w:rsidRPr="007A215B">
              <w:t>94127050261</w:t>
            </w:r>
          </w:p>
        </w:tc>
      </w:tr>
      <w:tr w:rsidR="00C867FE" w:rsidTr="00B36D33">
        <w:tc>
          <w:tcPr>
            <w:tcW w:w="5005" w:type="dxa"/>
            <w:vAlign w:val="center"/>
          </w:tcPr>
          <w:p w:rsidR="00C867FE" w:rsidRPr="00C867FE" w:rsidRDefault="00C867FE" w:rsidP="00B36D33">
            <w:pPr>
              <w:jc w:val="right"/>
            </w:pPr>
            <w:r w:rsidRPr="00C867FE">
              <w:t>Forma giuridica:</w:t>
            </w:r>
          </w:p>
        </w:tc>
        <w:tc>
          <w:tcPr>
            <w:tcW w:w="5006" w:type="dxa"/>
            <w:vAlign w:val="center"/>
          </w:tcPr>
          <w:p w:rsidR="00C867FE" w:rsidRPr="007A215B" w:rsidRDefault="007A215B" w:rsidP="00B36D33">
            <w:r w:rsidRPr="007A215B">
              <w:t>FONDAZIONE</w:t>
            </w:r>
          </w:p>
        </w:tc>
      </w:tr>
      <w:tr w:rsidR="00B36D33" w:rsidTr="00B36D33">
        <w:tc>
          <w:tcPr>
            <w:tcW w:w="5005" w:type="dxa"/>
            <w:vAlign w:val="center"/>
          </w:tcPr>
          <w:p w:rsidR="00B36D33" w:rsidRPr="00C867FE" w:rsidRDefault="00B36D33" w:rsidP="00B36D33">
            <w:pPr>
              <w:jc w:val="right"/>
            </w:pPr>
            <w:r>
              <w:t>Numero di iscrizione al RUNTS:</w:t>
            </w:r>
          </w:p>
        </w:tc>
        <w:tc>
          <w:tcPr>
            <w:tcW w:w="5006" w:type="dxa"/>
            <w:vAlign w:val="center"/>
          </w:tcPr>
          <w:p w:rsidR="00B36D33" w:rsidRPr="007A215B" w:rsidRDefault="0042089B" w:rsidP="00B36D33">
            <w:r>
              <w:t>162501</w:t>
            </w:r>
          </w:p>
        </w:tc>
      </w:tr>
      <w:tr w:rsidR="00B36D33" w:rsidTr="00B36D33">
        <w:tc>
          <w:tcPr>
            <w:tcW w:w="5005" w:type="dxa"/>
            <w:vAlign w:val="center"/>
          </w:tcPr>
          <w:p w:rsidR="00B36D33" w:rsidRPr="00C867FE" w:rsidRDefault="00B36D33" w:rsidP="00B36D33">
            <w:pPr>
              <w:jc w:val="right"/>
            </w:pPr>
            <w:r>
              <w:t>Sezione di iscrizione al RUNTS:</w:t>
            </w:r>
          </w:p>
        </w:tc>
        <w:tc>
          <w:tcPr>
            <w:tcW w:w="5006" w:type="dxa"/>
            <w:vAlign w:val="center"/>
          </w:tcPr>
          <w:p w:rsidR="00B36D33" w:rsidRPr="007A215B" w:rsidRDefault="007A215B" w:rsidP="00B36D33">
            <w:r w:rsidRPr="007A215B">
              <w:t>g) Altri enti del terzo settore</w:t>
            </w:r>
          </w:p>
        </w:tc>
      </w:tr>
      <w:tr w:rsidR="00B36D33" w:rsidTr="00B36D33">
        <w:tc>
          <w:tcPr>
            <w:tcW w:w="5005" w:type="dxa"/>
            <w:vAlign w:val="center"/>
          </w:tcPr>
          <w:p w:rsidR="00B36D33" w:rsidRPr="00C867FE" w:rsidRDefault="00B36D33" w:rsidP="00B36D33">
            <w:pPr>
              <w:jc w:val="right"/>
            </w:pPr>
            <w:r>
              <w:t>Codice/lettera attività di interesse generale svolta:</w:t>
            </w:r>
          </w:p>
        </w:tc>
        <w:tc>
          <w:tcPr>
            <w:tcW w:w="5006" w:type="dxa"/>
            <w:vAlign w:val="center"/>
          </w:tcPr>
          <w:p w:rsidR="00B36D33" w:rsidRDefault="0042089B" w:rsidP="00B36D33">
            <w:r>
              <w:t>Lettera h), i), t), u)</w:t>
            </w:r>
          </w:p>
        </w:tc>
      </w:tr>
      <w:tr w:rsidR="00B36D33" w:rsidTr="00B36D33">
        <w:tc>
          <w:tcPr>
            <w:tcW w:w="5005" w:type="dxa"/>
            <w:vAlign w:val="center"/>
          </w:tcPr>
          <w:p w:rsidR="00B36D33" w:rsidRPr="00C867FE" w:rsidRDefault="00B36D33" w:rsidP="00B36D33">
            <w:pPr>
              <w:jc w:val="right"/>
            </w:pPr>
            <w:r>
              <w:t>Attività diverse secondarie:</w:t>
            </w:r>
          </w:p>
        </w:tc>
        <w:tc>
          <w:tcPr>
            <w:tcW w:w="5006" w:type="dxa"/>
            <w:vAlign w:val="center"/>
          </w:tcPr>
          <w:p w:rsidR="00B36D33" w:rsidRDefault="0042089B" w:rsidP="00B36D33">
            <w:r>
              <w:t>no</w:t>
            </w:r>
          </w:p>
        </w:tc>
      </w:tr>
    </w:tbl>
    <w:p w:rsidR="00C867FE" w:rsidRDefault="00C867FE" w:rsidP="00C867FE">
      <w:pPr>
        <w:jc w:val="center"/>
      </w:pPr>
    </w:p>
    <w:p w:rsidR="00C867FE" w:rsidRDefault="00C867FE" w:rsidP="00C867FE">
      <w:pPr>
        <w:jc w:val="center"/>
      </w:pPr>
    </w:p>
    <w:p w:rsidR="00C867FE" w:rsidRPr="005A67D3" w:rsidRDefault="006924C6" w:rsidP="006924C6">
      <w:pPr>
        <w:pStyle w:val="Titolocentrato"/>
      </w:pPr>
      <w:r>
        <w:t>Bilancio al</w:t>
      </w:r>
      <w:r w:rsidR="00C867FE" w:rsidRPr="005A67D3">
        <w:t xml:space="preserve"> </w:t>
      </w:r>
      <w:r w:rsidR="007A215B" w:rsidRPr="007A215B">
        <w:t>31/12/2025</w:t>
      </w:r>
      <w:r w:rsidR="00C867FE" w:rsidRPr="005A67D3">
        <w:t xml:space="preserve"> </w:t>
      </w:r>
    </w:p>
    <w:p w:rsidR="00C867FE" w:rsidRPr="006E2457" w:rsidRDefault="006924C6" w:rsidP="00BF2757">
      <w:pPr>
        <w:pStyle w:val="Titolo1"/>
      </w:pPr>
      <w:r>
        <w:t>Stato Patrimoniale</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7045"/>
        <w:gridCol w:w="1453"/>
        <w:gridCol w:w="1453"/>
      </w:tblGrid>
      <w:tr w:rsidR="00E35330" w:rsidRPr="00DC764C" w:rsidTr="00E35330">
        <w:trPr>
          <w:tblHeader/>
        </w:trPr>
        <w:tc>
          <w:tcPr>
            <w:tcW w:w="3539"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p>
        </w:tc>
        <w:tc>
          <w:tcPr>
            <w:tcW w:w="730"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31/12/2025</w:t>
            </w:r>
          </w:p>
        </w:tc>
        <w:tc>
          <w:tcPr>
            <w:tcW w:w="730"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31/12/2024</w:t>
            </w:r>
          </w:p>
        </w:tc>
      </w:tr>
      <w:tr w:rsidR="00E35330" w:rsidRPr="00DC764C" w:rsidTr="00E35330">
        <w:tc>
          <w:tcPr>
            <w:tcW w:w="3539" w:type="pct"/>
            <w:tcBorders>
              <w:top w:val="single" w:sz="12"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Attivo</w:t>
            </w:r>
          </w:p>
        </w:tc>
        <w:tc>
          <w:tcPr>
            <w:tcW w:w="730" w:type="pct"/>
            <w:tcBorders>
              <w:top w:val="single" w:sz="12"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c>
          <w:tcPr>
            <w:tcW w:w="730" w:type="pct"/>
            <w:tcBorders>
              <w:top w:val="single" w:sz="12"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r>
      <w:tr w:rsidR="00E35330" w:rsidRPr="00DC764C" w:rsidTr="00E35330">
        <w:tc>
          <w:tcPr>
            <w:tcW w:w="3539"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A) Quote associative o apporti ancora dovuti</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w:t>
            </w:r>
          </w:p>
        </w:tc>
      </w:tr>
      <w:tr w:rsidR="00E35330" w:rsidRPr="00DC764C" w:rsidTr="00E35330">
        <w:tc>
          <w:tcPr>
            <w:tcW w:w="3539"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B) Immobilizzazioni</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I - Immobilizzazioni immateriali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 costi di impianto e di ampliamento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8.108</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2) costi di sviluppo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3) diritti di brevetto industriale e diritti di utilizzazione delle opere dell'ingegno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4) concessioni, licenze, marchi e diritti simili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5) avviamento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6) immobilizzazioni in corso e acconti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7) altre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ab/>
              <w:t>Totale immobilizzazioni immateriali</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8.108</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II - Immobilizzazioni materiali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 terreni e fabbricati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300.887</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311.697</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2) impianti e macchinari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19.503</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27.099</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3) attrezzature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18.366</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23.614</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lastRenderedPageBreak/>
              <w:tab/>
            </w:r>
            <w:r w:rsidRPr="00DC764C">
              <w:rPr>
                <w:color w:val="auto"/>
              </w:rPr>
              <w:tab/>
              <w:t>4) altri beni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58.138</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56.910</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5) immobilizzazioni in corso e acconti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ab/>
              <w:t>Totale immobilizzazioni materiali</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396.894</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419.320</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III - Immobilizzazioni finanziarie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 partecipazioni in</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r>
            <w:r w:rsidRPr="00DC764C">
              <w:rPr>
                <w:color w:val="auto"/>
              </w:rPr>
              <w:tab/>
              <w:t>a) imprese controllate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r>
            <w:r w:rsidRPr="00DC764C">
              <w:rPr>
                <w:color w:val="auto"/>
              </w:rPr>
              <w:tab/>
              <w:t>b) imprese collegate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r>
            <w:r w:rsidRPr="00DC764C">
              <w:rPr>
                <w:color w:val="auto"/>
              </w:rPr>
              <w:tab/>
              <w:t>c) altre imprese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ab/>
            </w:r>
            <w:r w:rsidRPr="00DC764C">
              <w:rPr>
                <w:i/>
                <w:color w:val="auto"/>
              </w:rPr>
              <w:tab/>
              <w:t>Totale partecipazioni</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2) crediti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r>
            <w:r w:rsidRPr="00DC764C">
              <w:rPr>
                <w:color w:val="auto"/>
              </w:rPr>
              <w:tab/>
              <w:t>a) verso imprese controllate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r>
            <w:r w:rsidRPr="00DC764C">
              <w:rPr>
                <w:color w:val="auto"/>
              </w:rPr>
              <w:tab/>
              <w:t>b) verso imprese collegate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r>
            <w:r w:rsidRPr="00DC764C">
              <w:rPr>
                <w:color w:val="auto"/>
              </w:rPr>
              <w:tab/>
              <w:t>c) verso altri enti del Terzo settore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r>
            <w:r w:rsidRPr="00DC764C">
              <w:rPr>
                <w:color w:val="auto"/>
              </w:rPr>
              <w:tab/>
              <w:t>d) verso altri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ab/>
            </w:r>
            <w:r w:rsidRPr="00DC764C">
              <w:rPr>
                <w:i/>
                <w:color w:val="auto"/>
              </w:rPr>
              <w:tab/>
              <w:t>Totale crediti</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3) altri titoli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300.000</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ab/>
              <w:t>Totale immobilizzazioni finanziarie</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300.000</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Totale immobilizzazioni (B)</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705.002</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419.320</w:t>
            </w:r>
          </w:p>
        </w:tc>
      </w:tr>
      <w:tr w:rsidR="00E35330" w:rsidRPr="00DC764C" w:rsidTr="00E35330">
        <w:tc>
          <w:tcPr>
            <w:tcW w:w="3539"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C) Attivo circolante</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I - Rimanenze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 materie prime, sussidiarie e di consumo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2) prodotti in corso di lavorazione e semilavorati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3) lavori in corso su ordinazione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4) prodotti finiti e merci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5) acconti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ab/>
              <w:t>Totale rimanenze</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II - Crediti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 verso utenti e clienti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2) verso associati e fondatori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3) verso enti pubblici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4) verso soggetti privati per contributi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5) verso enti della stessa rete associativa</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6) verso altri enti del Terzo settore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7) verso imprese controllate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8) verso imprese collegate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9) crediti tributari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5.159</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r>
            <w:r w:rsidRPr="00DC764C">
              <w:rPr>
                <w:color w:val="auto"/>
              </w:rPr>
              <w:tab/>
              <w:t>esigibili entro l'esercizio successivo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5.159</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10) da 5 per mille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11) imposte anticipate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12) verso altri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15.008</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9.720</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r>
            <w:r w:rsidRPr="00DC764C">
              <w:rPr>
                <w:color w:val="auto"/>
              </w:rPr>
              <w:tab/>
              <w:t>esigibili entro l'esercizio successivo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15.008</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9.720</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ab/>
              <w:t>Totale crediti</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15.008</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14.879</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III - Attivita' finanziarie che non costituiscono immobilizzazioni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 partecipazioni in imprese controllate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2) partecipazioni in imprese collegate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3) altri titoli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44.957</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ab/>
              <w:t>Totale attivita' finanziarie che non costituiscono immobilizzazioni</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44.957</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IV - Disponibilita' liquide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 depositi bancari e postali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680.728</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882.992</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2) assegni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3) danaro e valori in cassa</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947</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766</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ab/>
              <w:t>Totale disponibilita' liquide</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681.675</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883.758</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Totale attivo circolante (C)</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696.683</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943.594</w:t>
            </w:r>
          </w:p>
        </w:tc>
      </w:tr>
      <w:tr w:rsidR="00E35330" w:rsidRPr="00DC764C" w:rsidTr="00E35330">
        <w:tc>
          <w:tcPr>
            <w:tcW w:w="3539"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D) Ratei e risconti attivi</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2.993</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1.668</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Totale attivo</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1.404.678</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1.364.582</w:t>
            </w:r>
          </w:p>
        </w:tc>
      </w:tr>
      <w:tr w:rsidR="00E35330" w:rsidRPr="00DC764C" w:rsidTr="00E35330">
        <w:tc>
          <w:tcPr>
            <w:tcW w:w="3539"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Passivo</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r>
      <w:tr w:rsidR="00E35330" w:rsidRPr="00DC764C" w:rsidTr="00E35330">
        <w:tc>
          <w:tcPr>
            <w:tcW w:w="3539"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A) Patrimonio netto</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I - Fondo di dotazione dell'ente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30.000</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2.660</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II - Patrimonio vincolato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 riserve statutarie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2) riserve vincolate per decisione degli organi istituzionali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3) riserve vincolate destinate da terzi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ab/>
              <w:t>Totale patrimonio vincolato</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III - Patrimonio libero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1) riserve di utili o avanzi di gestione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114.422</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2) altre riserve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1.156.206</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913.290</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ab/>
              <w:t>Totale patrimonio libero</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1.156.206</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1.027.712</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IV - Avanzo/disavanzo d'esercizio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57.932</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155.836</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Totale patrimonio netto</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1.244.138</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1.186.208</w:t>
            </w:r>
          </w:p>
        </w:tc>
      </w:tr>
      <w:tr w:rsidR="00E35330" w:rsidRPr="00DC764C" w:rsidTr="00E35330">
        <w:tc>
          <w:tcPr>
            <w:tcW w:w="3539"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B) Fondi per rischi e oneri</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1) per trattamento di quiescenza e obblighi simili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2) per imposte, anche differite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3) altri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Totale fondi per rischi ed oneri</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w:t>
            </w:r>
          </w:p>
        </w:tc>
      </w:tr>
      <w:tr w:rsidR="00E35330" w:rsidRPr="00DC764C" w:rsidTr="00E35330">
        <w:tc>
          <w:tcPr>
            <w:tcW w:w="3539"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C) Trattamento di fine rapporto di lavoro subordinato</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30.848</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26.394</w:t>
            </w:r>
          </w:p>
        </w:tc>
      </w:tr>
      <w:tr w:rsidR="00E35330" w:rsidRPr="00DC764C" w:rsidTr="00E35330">
        <w:tc>
          <w:tcPr>
            <w:tcW w:w="3539"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D) Debiti</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1) debiti verso banche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98</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esigibili entro l'esercizio successivo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98</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2) debiti verso altri finanziatori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3) debiti verso associati e fondatori per finanziamenti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4) debiti verso enti della stessa rete associativa</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5) debiti per erogazioni liberali condizionate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6) acconti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7) debiti verso fornitori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113.258</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134.521</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esigibili entro l'esercizio successivo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113.258</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134.521</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8) debiti verso imprese controllate e collegate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9) debiti tributari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9.738</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9.129</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esigibili entro l'esercizio successivo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9.738</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9.129</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10) debiti verso istituti di previdenza e di sicurezza sociale</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4.871</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4.816</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esigibili entro l'esercizio successivo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4.871</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4.816</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11) debiti verso dipendenti e collaboratori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949</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2.616</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esigibili entro l'esercizio successivo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949</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2.616</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t>12) altri debiti</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777</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777</w:t>
            </w:r>
          </w:p>
        </w:tc>
      </w:tr>
      <w:tr w:rsidR="00E35330" w:rsidRPr="00DC764C" w:rsidTr="00E35330">
        <w:tc>
          <w:tcPr>
            <w:tcW w:w="3539"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b/>
            </w:r>
            <w:r w:rsidRPr="00DC764C">
              <w:rPr>
                <w:color w:val="auto"/>
              </w:rPr>
              <w:tab/>
              <w:t>esigibili entro l'esercizio successivo</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777</w:t>
            </w:r>
          </w:p>
        </w:tc>
        <w:tc>
          <w:tcPr>
            <w:tcW w:w="73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777</w:t>
            </w:r>
          </w:p>
        </w:tc>
      </w:tr>
      <w:tr w:rsidR="00E35330" w:rsidRPr="00DC764C" w:rsidTr="00E35330">
        <w:tc>
          <w:tcPr>
            <w:tcW w:w="3539"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Totale debiti</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129.593</w:t>
            </w:r>
          </w:p>
        </w:tc>
        <w:tc>
          <w:tcPr>
            <w:tcW w:w="73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151.957</w:t>
            </w:r>
          </w:p>
        </w:tc>
      </w:tr>
      <w:tr w:rsidR="00E35330" w:rsidRPr="00DC764C" w:rsidTr="00E35330">
        <w:tc>
          <w:tcPr>
            <w:tcW w:w="3539"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E) Ratei e risconti passivi</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99</w:t>
            </w:r>
          </w:p>
        </w:tc>
        <w:tc>
          <w:tcPr>
            <w:tcW w:w="73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23</w:t>
            </w:r>
          </w:p>
        </w:tc>
      </w:tr>
      <w:tr w:rsidR="00E35330" w:rsidRPr="00DC764C" w:rsidTr="00E35330">
        <w:tc>
          <w:tcPr>
            <w:tcW w:w="3539" w:type="pct"/>
            <w:tcBorders>
              <w:top w:val="single" w:sz="6" w:space="0" w:color="000000"/>
              <w:bottom w:val="single" w:sz="12" w:space="0" w:color="000000"/>
            </w:tcBorders>
            <w:shd w:val="clear" w:color="auto" w:fill="F1F1F1"/>
            <w:vAlign w:val="center"/>
          </w:tcPr>
          <w:p w:rsidR="00E35330" w:rsidRPr="00DC764C" w:rsidRDefault="00E35330" w:rsidP="00E35330">
            <w:pPr>
              <w:pStyle w:val="Tabella"/>
              <w:rPr>
                <w:i/>
                <w:color w:val="auto"/>
              </w:rPr>
            </w:pPr>
            <w:r w:rsidRPr="00DC764C">
              <w:rPr>
                <w:i/>
                <w:color w:val="auto"/>
              </w:rPr>
              <w:t>Totale passivo</w:t>
            </w:r>
          </w:p>
        </w:tc>
        <w:tc>
          <w:tcPr>
            <w:tcW w:w="730" w:type="pct"/>
            <w:tcBorders>
              <w:top w:val="single" w:sz="6" w:space="0" w:color="000000"/>
              <w:bottom w:val="single" w:sz="12"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1.404.678</w:t>
            </w:r>
          </w:p>
        </w:tc>
        <w:tc>
          <w:tcPr>
            <w:tcW w:w="730" w:type="pct"/>
            <w:tcBorders>
              <w:top w:val="single" w:sz="6" w:space="0" w:color="000000"/>
              <w:bottom w:val="single" w:sz="12" w:space="0" w:color="000000"/>
            </w:tcBorders>
            <w:shd w:val="clear" w:color="auto" w:fill="F1F1F1"/>
            <w:vAlign w:val="center"/>
          </w:tcPr>
          <w:p w:rsidR="00E35330" w:rsidRPr="00DC764C" w:rsidRDefault="00E35330" w:rsidP="00E35330">
            <w:pPr>
              <w:pStyle w:val="Tabella"/>
              <w:jc w:val="right"/>
              <w:rPr>
                <w:i/>
                <w:color w:val="auto"/>
              </w:rPr>
            </w:pPr>
            <w:r w:rsidRPr="00DC764C">
              <w:rPr>
                <w:i/>
                <w:color w:val="auto"/>
              </w:rPr>
              <w:t>1.364.582</w:t>
            </w:r>
          </w:p>
        </w:tc>
      </w:tr>
    </w:tbl>
    <w:p w:rsidR="00BF2757" w:rsidRPr="007A215B" w:rsidRDefault="00BF2757" w:rsidP="00BF2757"/>
    <w:p w:rsidR="00315CF2" w:rsidRPr="006E2457" w:rsidRDefault="006924C6" w:rsidP="00315CF2">
      <w:pPr>
        <w:pStyle w:val="Titolo1"/>
      </w:pPr>
      <w:r>
        <w:t>Rendiconto gestionale</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3045"/>
        <w:gridCol w:w="965"/>
        <w:gridCol w:w="965"/>
        <w:gridCol w:w="3046"/>
        <w:gridCol w:w="965"/>
        <w:gridCol w:w="965"/>
      </w:tblGrid>
      <w:tr w:rsidR="00E35330" w:rsidRPr="00DC764C" w:rsidTr="00E35330">
        <w:trPr>
          <w:tblHeader/>
        </w:trPr>
        <w:tc>
          <w:tcPr>
            <w:tcW w:w="1770"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Oneri e costi</w:t>
            </w:r>
          </w:p>
        </w:tc>
        <w:tc>
          <w:tcPr>
            <w:tcW w:w="365"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31/12/2025</w:t>
            </w:r>
          </w:p>
        </w:tc>
        <w:tc>
          <w:tcPr>
            <w:tcW w:w="365"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31/12/2024</w:t>
            </w:r>
          </w:p>
        </w:tc>
        <w:tc>
          <w:tcPr>
            <w:tcW w:w="1770"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Proventi e ricavi</w:t>
            </w:r>
          </w:p>
        </w:tc>
        <w:tc>
          <w:tcPr>
            <w:tcW w:w="365"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31/12/2025</w:t>
            </w:r>
          </w:p>
        </w:tc>
        <w:tc>
          <w:tcPr>
            <w:tcW w:w="365"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31/12/2024</w:t>
            </w:r>
          </w:p>
        </w:tc>
      </w:tr>
      <w:tr w:rsidR="00E35330" w:rsidRPr="00DC764C" w:rsidTr="00E35330">
        <w:tc>
          <w:tcPr>
            <w:tcW w:w="1770" w:type="pct"/>
            <w:tcBorders>
              <w:top w:val="single" w:sz="12"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 Costi e oneri da attività di interesse generale</w:t>
            </w:r>
          </w:p>
        </w:tc>
        <w:tc>
          <w:tcPr>
            <w:tcW w:w="365" w:type="pct"/>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401.381</w:t>
            </w:r>
          </w:p>
        </w:tc>
        <w:tc>
          <w:tcPr>
            <w:tcW w:w="365" w:type="pct"/>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357.170</w:t>
            </w:r>
          </w:p>
        </w:tc>
        <w:tc>
          <w:tcPr>
            <w:tcW w:w="1770" w:type="pct"/>
            <w:tcBorders>
              <w:top w:val="single" w:sz="12"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 Ricavi, rendite e proventi da attività di interesse generale</w:t>
            </w:r>
          </w:p>
        </w:tc>
        <w:tc>
          <w:tcPr>
            <w:tcW w:w="365" w:type="pct"/>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537.050</w:t>
            </w:r>
          </w:p>
        </w:tc>
        <w:tc>
          <w:tcPr>
            <w:tcW w:w="365" w:type="pct"/>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532.886</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 Materie prime, sussidiarie, di consumo e di merci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403</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727</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 Proventi da quote associative e apporti dei fondatori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2) Servizi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288.827</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250.231</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2) Proventi dagli associati per attività mutuali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3) Godimento beni di terzi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1.155</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837</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3) Ricavi per prestazioni e cessioni ad associati e fondatori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4) Personale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68.837</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70.017</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4) Erogazioni liberali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492.001</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482.269</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5) Ammortamenti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37.468</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29.967</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5) Proventi del 5 per mille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43.958</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45.618</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5 bis) Svalutazioni delle immobilizzazioni materiali ed immateriali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6) Contributi da soggetti privati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6) Accantonamenti per rischi ed oneri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7) Ricavi per prestazioni e cessioni a terzi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7) Oneri diversi di gestione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4.691</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5.391</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8) Contributi da enti pubblici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500</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8) Rimanenze iniziali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9) Proventi da contratti con enti pubblici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9) Accantonamento a riserva vincolata per decisione degli organi istituzionali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10) Altri ricavi, rendite e proventi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1.091</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4.499</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10) Utilizzo riserva vincolata per decisione degli organi istituzionali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11) Rimanenze finali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costi e oneri da attività di interesse generale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401.381</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357.170</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ricavi, rendite e proventi da attività di interesse generale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537.050</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532.886</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Avanzo/disavanzo attività di interesse generale (+/-)</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135.669</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175.716</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B) Costi e oneri da attività diverse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B) Ricavi, rendite e proventi da attività diverse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 Materie prime, sussidiarie, di consumo e di merci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 Ricavi per prestazioni e cessioni ad associati e fondatori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2) Servizi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2) Contributi da soggetti privati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3) Godimento beni di terzi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3) Ricavi per prestazioni e cessioni a terzi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4) Personale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4) Contributi da enti pubblici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5) Ammortamenti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5) Proventi da contratti con enti pubblici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5 bis) Svalutazioni delle immobilizzazioni materiali ed immateriali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6) Altri ricavi, rendite e proventi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6) Accantonamenti per rischi ed oneri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7) Rimanenze finali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7) Oneri diversi di gestione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8) Rimanenze iniziali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costi e oneri da attività diverse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ricavi, rendite e proventi da attività diverse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Avanzo/disavanzo attività diverse (+/-)</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C) Costi e oneri da attività di raccolta fondi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C) Ricavi, rendite e proventi da attività di raccolta fondi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 Oneri per raccolte fondi abituali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 Proventi da raccolte fondi abituali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2) Oneri per raccolte fondi occasionali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2) Proventi da raccolte fondi occasionali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3) Altri oneri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3) Altri proventi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costi e oneri da attività di raccolta fondi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ricavi, rendite e proventi da attività di raccolta fondi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Avanzo/disavanzo attività di raccolta fondi (+/-)</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D) Costi e oneri da attività finanziarie e patrimoniali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50.278</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6.743</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D) Ricavi, rendite e proventi da attività finanziarie e patrimoniali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13.056</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12.000</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 Su rapporti bancari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 Da rapporti bancari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1.056</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2) Su prestiti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2) Da altri investimenti finanziari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3) Da patrimonio edilizio</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2.418</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6.343</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3) Da patrimonio edilizio</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4) Da altri beni patrimoniali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4) Da altri beni patrimoniali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5) Accantonamenti per rischi ed oneri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5) Altri proventi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12.000</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12.000</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6) Altri oneri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47.860</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400</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costi e oneri da attività finanziarie e patrimoniali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50.278</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6.743</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ricavi, rendite e proventi da attività finanziarie e patrimoniali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13.056</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12.000</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Avanzo/disavanzo attività finanziarie e patrimoniali (+/-)</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(37.222)</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5.257</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E) Costi e oneri di supporto generale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23.575</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20.407</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E) Proventi di supporto generale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 Materie prime, sussidiarie, di consumo e di merci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2.925</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4.946</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1) Proventi da distacco del personale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2) Servizi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19.052</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13.233</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2) Altri proventi di supporto generale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3) Godimento beni di terzi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1.200</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856</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4) Personale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5) Ammortamenti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5 bis) Svalutazioni delle immobilizzazioni materiali ed immateriali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6) Accantonamenti per rischi ed oneri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7) Altri oneri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398</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1.372</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8) Accantonamento a riserva vincolata per decisione degli organi istituzionali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9) Utilizzo riserva vincolata per decisione degli organi istituzionali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costi e oneri di supporto generale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23.575</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20.407</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proventi di supporto generale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oneri e costi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475.234</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384.320</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Totale proventi e ricavi</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550.106</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544.886</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Avanzo/disavanzo d'esercizio prima delle imposte (+/-)</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74.872</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160.566</w:t>
            </w:r>
          </w:p>
        </w:tc>
      </w:tr>
      <w:tr w:rsidR="00E35330" w:rsidRPr="00DC764C" w:rsidTr="00E35330">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Imposte</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(16.940)</w:t>
            </w:r>
          </w:p>
        </w:tc>
        <w:tc>
          <w:tcPr>
            <w:tcW w:w="365"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(4.730)</w:t>
            </w:r>
          </w:p>
        </w:tc>
      </w:tr>
      <w:tr w:rsidR="00E35330" w:rsidRPr="00DC764C" w:rsidTr="00E35330">
        <w:tc>
          <w:tcPr>
            <w:tcW w:w="1770" w:type="pct"/>
            <w:tcBorders>
              <w:top w:val="single" w:sz="6" w:space="0" w:color="000000"/>
              <w:bottom w:val="single" w:sz="12" w:space="0" w:color="000000"/>
            </w:tcBorders>
            <w:shd w:val="clear" w:color="auto" w:fill="FFFFFF"/>
            <w:vAlign w:val="center"/>
          </w:tcPr>
          <w:p w:rsidR="00E35330" w:rsidRPr="00DC764C" w:rsidRDefault="00E35330" w:rsidP="00E35330">
            <w:pPr>
              <w:pStyle w:val="Tabella"/>
              <w:rPr>
                <w:color w:val="auto"/>
              </w:rPr>
            </w:pPr>
          </w:p>
        </w:tc>
        <w:tc>
          <w:tcPr>
            <w:tcW w:w="365" w:type="pct"/>
            <w:tcBorders>
              <w:top w:val="single" w:sz="6" w:space="0" w:color="000000"/>
              <w:bottom w:val="single" w:sz="12"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365" w:type="pct"/>
            <w:tcBorders>
              <w:top w:val="single" w:sz="6" w:space="0" w:color="000000"/>
              <w:bottom w:val="single" w:sz="12"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770" w:type="pct"/>
            <w:tcBorders>
              <w:top w:val="single" w:sz="6" w:space="0" w:color="000000"/>
              <w:bottom w:val="single" w:sz="12" w:space="0" w:color="000000"/>
            </w:tcBorders>
            <w:shd w:val="clear" w:color="auto" w:fill="FFFFFF"/>
            <w:vAlign w:val="center"/>
          </w:tcPr>
          <w:p w:rsidR="00E35330" w:rsidRPr="00DC764C" w:rsidRDefault="00E35330" w:rsidP="00E35330">
            <w:pPr>
              <w:pStyle w:val="Tabella"/>
              <w:rPr>
                <w:color w:val="auto"/>
              </w:rPr>
            </w:pPr>
            <w:r w:rsidRPr="00DC764C">
              <w:rPr>
                <w:color w:val="auto"/>
              </w:rPr>
              <w:t>Avanzo/disavanzo d'esercizio (+/-)</w:t>
            </w:r>
          </w:p>
        </w:tc>
        <w:tc>
          <w:tcPr>
            <w:tcW w:w="365" w:type="pct"/>
            <w:tcBorders>
              <w:top w:val="single" w:sz="6" w:space="0" w:color="000000"/>
              <w:bottom w:val="single" w:sz="12"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57.932</w:t>
            </w:r>
          </w:p>
        </w:tc>
        <w:tc>
          <w:tcPr>
            <w:tcW w:w="365" w:type="pct"/>
            <w:tcBorders>
              <w:top w:val="single" w:sz="6" w:space="0" w:color="000000"/>
              <w:bottom w:val="single" w:sz="12"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155.836</w:t>
            </w:r>
          </w:p>
        </w:tc>
      </w:tr>
    </w:tbl>
    <w:p w:rsidR="00315CF2" w:rsidRPr="007A215B" w:rsidRDefault="00315CF2" w:rsidP="00315CF2"/>
    <w:p w:rsidR="00315CF2" w:rsidRPr="006E2457" w:rsidRDefault="006924C6" w:rsidP="00315CF2">
      <w:pPr>
        <w:pStyle w:val="Titolo1"/>
      </w:pPr>
      <w:r>
        <w:t>Relazione di missione</w:t>
      </w:r>
    </w:p>
    <w:p w:rsidR="00315CF2" w:rsidRPr="006E2457" w:rsidRDefault="006924C6" w:rsidP="00315CF2">
      <w:pPr>
        <w:pStyle w:val="Titolo2"/>
      </w:pPr>
      <w:r>
        <w:t>Introduzione</w:t>
      </w:r>
    </w:p>
    <w:p w:rsidR="007A215B" w:rsidRPr="007A215B" w:rsidRDefault="007A215B" w:rsidP="00962D95">
      <w:r w:rsidRPr="007A215B">
        <w:t xml:space="preserve">Signori </w:t>
      </w:r>
      <w:r w:rsidR="0042089B">
        <w:t>Partecipanti Fondatori</w:t>
      </w:r>
      <w:r w:rsidRPr="007A215B">
        <w:t xml:space="preserve">, la presente relazione di missione costituisce parte integrante del bilancio al </w:t>
      </w:r>
      <w:r>
        <w:t>31/12/2025</w:t>
      </w:r>
      <w:r w:rsidRPr="007A215B">
        <w:t>.</w:t>
      </w:r>
    </w:p>
    <w:p w:rsidR="007A215B" w:rsidRPr="007A215B" w:rsidRDefault="007A215B" w:rsidP="00962D95">
      <w:r w:rsidRPr="007A215B">
        <w:t>Il bilancio risulta conforme a quanto previsto dall'art. 13 del D.Lgs. 117/2017 e dal decreto del Ministero del Lavoro e delle Politiche Sociali del 5 marzo 2020 ed è redatto in conformità ai principi contabili nazionali così come pubblicati dall'Organismo Italiano di Contabilità, con particolare riferimento al Principio OIC 35 ("Principio contabile ETS").</w:t>
      </w:r>
    </w:p>
    <w:p w:rsidR="007A215B" w:rsidRPr="007A215B" w:rsidRDefault="007A215B" w:rsidP="00962D95">
      <w:r w:rsidRPr="007A215B">
        <w:t>Il bilancio:</w:t>
      </w:r>
    </w:p>
    <w:p w:rsidR="0042089B" w:rsidRDefault="007A215B" w:rsidP="00962D95">
      <w:pPr>
        <w:numPr>
          <w:ilvl w:val="0"/>
          <w:numId w:val="41"/>
        </w:numPr>
      </w:pPr>
      <w:r w:rsidRPr="007A215B">
        <w:t>rappresenta con chiarezza ed in modo veritiero e corretto la situazione patrimoniale e finanziaria dell’ente ed il risultato economico dell'esercizio;</w:t>
      </w:r>
    </w:p>
    <w:p w:rsidR="007A215B" w:rsidRPr="007A215B" w:rsidRDefault="007A215B" w:rsidP="00962D95">
      <w:pPr>
        <w:numPr>
          <w:ilvl w:val="0"/>
          <w:numId w:val="41"/>
        </w:numPr>
      </w:pPr>
      <w:r w:rsidRPr="007A215B">
        <w:t xml:space="preserve">fornisce in modo trasparente informazioni sulle risorse ricevute e su come esse siano state impiegate nel perseguimento dei compiti istituzionali previsti dal Codice del Terzo Settore. </w:t>
      </w:r>
    </w:p>
    <w:p w:rsidR="007A215B" w:rsidRPr="007A215B" w:rsidRDefault="007A215B" w:rsidP="00962D95">
      <w:r w:rsidRPr="007A215B">
        <w:t>Il contenuto dello stato patrimoniale e del rendiconto gestionale è quello previsto rispettivamente dai modelli A e B dell'allegato 1 del decreto del Ministero del Lavoro e delle Politiche Sociali del 5 marzo 2020.</w:t>
      </w:r>
    </w:p>
    <w:p w:rsidR="0042089B" w:rsidRDefault="007A215B" w:rsidP="00962D95">
      <w:r w:rsidRPr="007A215B">
        <w:t xml:space="preserve">La relazione di missione è redatta secondo lo schema previsto dal modello C dell'allegato 1 del decreto del Ministero del Lavoro e delle Politiche Sociali del 5 marzo 2020 e contiene tutte le informazioni utili a fornire una corretta interpretazione del bilancio. </w:t>
      </w:r>
    </w:p>
    <w:p w:rsidR="007A215B" w:rsidRPr="007A215B" w:rsidRDefault="007A215B" w:rsidP="00962D95">
      <w:r w:rsidRPr="007A215B">
        <w:t>La predisposizione del bilancio d'esercizio degli enti del Terzo Settore è conforme alle clausole generali, ai principi generali di bilancio e ai criteri di valutazione di cui, rispettivamente, agli articoli 2423 e 2423-bis e 2426 del codice civile e ai principi contabili nazionali, in quanto compatibili con l'assenza dello scopo di lucro e con le finalità civiche, solidaristiche e di utilità sociale degli Enti del Terzo Settore.</w:t>
      </w:r>
    </w:p>
    <w:p w:rsidR="007A215B" w:rsidRPr="007A215B" w:rsidRDefault="007A215B" w:rsidP="00482A4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7A215B">
        <w:t>La valutazione degli elementi componenti le singole voci delle attività o passività è avvenuta separatamente, per evitare che i plusvalori di alcuni elementi possano compensare i minusvalori di altri.</w:t>
      </w:r>
    </w:p>
    <w:p w:rsidR="00315CF2" w:rsidRPr="007A215B" w:rsidRDefault="007A215B" w:rsidP="007A215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7A215B">
        <w:t xml:space="preserve">Nei casi in cui la compensazione è ammessa dalla legge, sono indicati nella relazione di missione gli importi lordi oggetto di compensazione.  </w:t>
      </w:r>
    </w:p>
    <w:p w:rsidR="00315CF2" w:rsidRPr="006E2457" w:rsidRDefault="006924C6" w:rsidP="00315CF2">
      <w:pPr>
        <w:pStyle w:val="Titolo2"/>
      </w:pPr>
      <w:r>
        <w:t>Parte generale</w:t>
      </w:r>
    </w:p>
    <w:p w:rsidR="00315CF2" w:rsidRPr="006E2457" w:rsidRDefault="006924C6" w:rsidP="00315CF2">
      <w:pPr>
        <w:pStyle w:val="Titolo3"/>
      </w:pPr>
      <w:r>
        <w:t>Informazioni generali sull'ente</w:t>
      </w:r>
    </w:p>
    <w:p w:rsidR="00315CF2" w:rsidRPr="006E2457" w:rsidRDefault="006924C6" w:rsidP="00315CF2">
      <w:pPr>
        <w:pStyle w:val="Titolo4"/>
      </w:pPr>
      <w:r>
        <w:t>Commento</w:t>
      </w:r>
    </w:p>
    <w:p w:rsidR="0042089B" w:rsidRDefault="0042089B" w:rsidP="0042089B">
      <w:pPr>
        <w:rPr>
          <w:rFonts w:eastAsia="Times New Roman"/>
        </w:rPr>
      </w:pPr>
      <w:r w:rsidRPr="0042089B">
        <w:rPr>
          <w:rFonts w:eastAsia="Times New Roman"/>
        </w:rPr>
        <w:t>L</w:t>
      </w:r>
      <w:r>
        <w:rPr>
          <w:rFonts w:eastAsia="Times New Roman"/>
        </w:rPr>
        <w:t>a Fondazione art4sport ETS è</w:t>
      </w:r>
      <w:r w:rsidRPr="0042089B">
        <w:rPr>
          <w:rFonts w:eastAsia="Times New Roman"/>
        </w:rPr>
        <w:t xml:space="preserve"> nata nel 2009</w:t>
      </w:r>
      <w:r>
        <w:rPr>
          <w:rFonts w:eastAsia="Times New Roman"/>
        </w:rPr>
        <w:t xml:space="preserve"> come “associazione art4sport ONLUS”</w:t>
      </w:r>
      <w:r w:rsidRPr="0042089B">
        <w:rPr>
          <w:rFonts w:eastAsia="Times New Roman"/>
        </w:rPr>
        <w:t xml:space="preserve"> dalla storia di Beatrice “Bebe” Vio Grandis e crede nello sport come terapia per il recupero fisico e psicologico dei bambini e dei ragazzi portatori di protesi di arto.</w:t>
      </w:r>
    </w:p>
    <w:p w:rsidR="0042089B" w:rsidRDefault="0042089B" w:rsidP="0042089B">
      <w:pPr>
        <w:rPr>
          <w:rFonts w:eastAsia="Times New Roman"/>
        </w:rPr>
      </w:pPr>
      <w:r>
        <w:rPr>
          <w:rFonts w:eastAsia="Times New Roman"/>
        </w:rPr>
        <w:t xml:space="preserve">In data 21 novembre 2025, avanti il Notaio Dott.ssa Nicoletta Mammucari l’Associazione art4sport ONLUS è stata trasformata in Fondazione ETS (repertorio n. 9236 e raccolta n. 7619). </w:t>
      </w:r>
    </w:p>
    <w:p w:rsidR="0042089B" w:rsidRPr="0042089B" w:rsidRDefault="0042089B" w:rsidP="0042089B">
      <w:pPr>
        <w:rPr>
          <w:rFonts w:eastAsia="Times New Roman"/>
        </w:rPr>
      </w:pPr>
      <w:r w:rsidRPr="0042089B">
        <w:rPr>
          <w:rFonts w:eastAsia="Times New Roman"/>
        </w:rPr>
        <w:t>A seguito della domanda presentata in data 2</w:t>
      </w:r>
      <w:r>
        <w:rPr>
          <w:rFonts w:eastAsia="Times New Roman"/>
        </w:rPr>
        <w:t>9</w:t>
      </w:r>
      <w:r w:rsidRPr="0042089B">
        <w:rPr>
          <w:rFonts w:eastAsia="Times New Roman"/>
        </w:rPr>
        <w:t xml:space="preserve">/01/2026 </w:t>
      </w:r>
      <w:r>
        <w:rPr>
          <w:rFonts w:eastAsia="Times New Roman"/>
        </w:rPr>
        <w:t>re</w:t>
      </w:r>
      <w:r w:rsidRPr="0042089B">
        <w:rPr>
          <w:rFonts w:eastAsia="Times New Roman"/>
        </w:rPr>
        <w:t>p</w:t>
      </w:r>
      <w:r>
        <w:rPr>
          <w:rFonts w:eastAsia="Times New Roman"/>
        </w:rPr>
        <w:t>ertorio</w:t>
      </w:r>
      <w:r w:rsidRPr="0042089B">
        <w:rPr>
          <w:rFonts w:eastAsia="Times New Roman"/>
        </w:rPr>
        <w:t xml:space="preserve"> n. 162501 </w:t>
      </w:r>
      <w:r>
        <w:rPr>
          <w:rFonts w:eastAsia="Times New Roman"/>
        </w:rPr>
        <w:t xml:space="preserve">e </w:t>
      </w:r>
      <w:r w:rsidRPr="0042089B">
        <w:rPr>
          <w:rFonts w:eastAsia="Times New Roman"/>
        </w:rPr>
        <w:t>prot</w:t>
      </w:r>
      <w:r>
        <w:rPr>
          <w:rFonts w:eastAsia="Times New Roman"/>
        </w:rPr>
        <w:t>ocollo</w:t>
      </w:r>
      <w:r w:rsidRPr="0042089B">
        <w:rPr>
          <w:rFonts w:eastAsia="Times New Roman"/>
        </w:rPr>
        <w:t xml:space="preserve"> n.</w:t>
      </w:r>
      <w:r>
        <w:rPr>
          <w:rFonts w:eastAsia="Times New Roman"/>
        </w:rPr>
        <w:t xml:space="preserve"> </w:t>
      </w:r>
      <w:r w:rsidRPr="0042089B">
        <w:rPr>
          <w:rFonts w:eastAsia="Times New Roman"/>
        </w:rPr>
        <w:t>0048216\29/01/2026</w:t>
      </w:r>
      <w:r>
        <w:rPr>
          <w:rFonts w:eastAsia="Times New Roman"/>
        </w:rPr>
        <w:t xml:space="preserve"> </w:t>
      </w:r>
      <w:r w:rsidRPr="0042089B">
        <w:rPr>
          <w:rFonts w:eastAsia="Times New Roman"/>
        </w:rPr>
        <w:t>dal Notaio Dott.</w:t>
      </w:r>
      <w:r>
        <w:rPr>
          <w:rFonts w:eastAsia="Times New Roman"/>
        </w:rPr>
        <w:t>ssa</w:t>
      </w:r>
      <w:r w:rsidRPr="0042089B">
        <w:rPr>
          <w:rFonts w:eastAsia="Times New Roman"/>
        </w:rPr>
        <w:t xml:space="preserve"> </w:t>
      </w:r>
      <w:r>
        <w:rPr>
          <w:rFonts w:eastAsia="Times New Roman"/>
        </w:rPr>
        <w:t>Nicoletta Mammucari</w:t>
      </w:r>
      <w:r w:rsidRPr="0042089B">
        <w:rPr>
          <w:rFonts w:eastAsia="Times New Roman"/>
        </w:rPr>
        <w:t xml:space="preserve">, Fondazione </w:t>
      </w:r>
      <w:r>
        <w:rPr>
          <w:rFonts w:eastAsia="Times New Roman"/>
        </w:rPr>
        <w:t>art4sport</w:t>
      </w:r>
      <w:r w:rsidRPr="0042089B">
        <w:rPr>
          <w:rFonts w:eastAsia="Times New Roman"/>
        </w:rPr>
        <w:t xml:space="preserve"> ETS risulta iscritta nel Registro Unico Nazionale del Terzo Settore (RUNTS) sezione “g – Altri enti del Terzo Settore” di cui all’articolo 46 comma 1 del D. Lgs. 117/2017 al repertorio n. 162501</w:t>
      </w:r>
      <w:r>
        <w:rPr>
          <w:rFonts w:eastAsia="Times New Roman"/>
        </w:rPr>
        <w:t xml:space="preserve"> dalla data del 05/03/2026 (decreto n. 11663).</w:t>
      </w:r>
      <w:r w:rsidRPr="0042089B">
        <w:rPr>
          <w:rFonts w:eastAsia="Times New Roman"/>
        </w:rPr>
        <w:t xml:space="preserve">  L’ente svolge esclusivamente attività di interesse generale ai sensi dell’art. 5 del D.</w:t>
      </w:r>
      <w:r>
        <w:rPr>
          <w:rFonts w:eastAsia="Times New Roman"/>
        </w:rPr>
        <w:t xml:space="preserve"> </w:t>
      </w:r>
      <w:r w:rsidRPr="0042089B">
        <w:rPr>
          <w:rFonts w:eastAsia="Times New Roman"/>
        </w:rPr>
        <w:t>Lgs. 117/2017</w:t>
      </w:r>
      <w:r>
        <w:rPr>
          <w:rFonts w:eastAsia="Times New Roman"/>
        </w:rPr>
        <w:t xml:space="preserve"> e </w:t>
      </w:r>
      <w:r w:rsidRPr="0042089B">
        <w:rPr>
          <w:rFonts w:eastAsia="Times New Roman"/>
        </w:rPr>
        <w:t xml:space="preserve">per effetto della predetta iscrizione </w:t>
      </w:r>
      <w:r>
        <w:rPr>
          <w:rFonts w:eastAsia="Times New Roman"/>
        </w:rPr>
        <w:t>la Fondazione</w:t>
      </w:r>
      <w:r w:rsidRPr="0042089B">
        <w:rPr>
          <w:rFonts w:eastAsia="Times New Roman"/>
        </w:rPr>
        <w:t xml:space="preserve"> </w:t>
      </w:r>
      <w:r>
        <w:rPr>
          <w:rFonts w:eastAsia="Times New Roman"/>
        </w:rPr>
        <w:t xml:space="preserve">ha </w:t>
      </w:r>
      <w:r w:rsidRPr="0042089B">
        <w:rPr>
          <w:rFonts w:eastAsia="Times New Roman"/>
        </w:rPr>
        <w:t>acquista</w:t>
      </w:r>
      <w:r>
        <w:rPr>
          <w:rFonts w:eastAsia="Times New Roman"/>
        </w:rPr>
        <w:t>to</w:t>
      </w:r>
      <w:r w:rsidRPr="0042089B">
        <w:rPr>
          <w:rFonts w:eastAsia="Times New Roman"/>
        </w:rPr>
        <w:t xml:space="preserve"> la personalità giuridica che permane per tutto il periodo di</w:t>
      </w:r>
      <w:r>
        <w:rPr>
          <w:rFonts w:eastAsia="Times New Roman"/>
        </w:rPr>
        <w:t xml:space="preserve"> </w:t>
      </w:r>
      <w:r w:rsidRPr="0042089B">
        <w:rPr>
          <w:rFonts w:eastAsia="Times New Roman"/>
        </w:rPr>
        <w:t>iscrizione del medesimo nel RUNTS</w:t>
      </w:r>
    </w:p>
    <w:p w:rsidR="0042089B" w:rsidRPr="0042089B" w:rsidRDefault="0042089B" w:rsidP="0042089B">
      <w:pPr>
        <w:rPr>
          <w:rFonts w:eastAsia="Times New Roman"/>
        </w:rPr>
      </w:pPr>
    </w:p>
    <w:p w:rsidR="0042089B" w:rsidRPr="0042089B" w:rsidRDefault="0042089B" w:rsidP="0042089B">
      <w:pPr>
        <w:rPr>
          <w:rFonts w:eastAsia="Times New Roman"/>
        </w:rPr>
      </w:pPr>
      <w:r>
        <w:rPr>
          <w:rFonts w:eastAsia="Times New Roman"/>
        </w:rPr>
        <w:t>Fondazione a</w:t>
      </w:r>
      <w:r w:rsidRPr="0042089B">
        <w:rPr>
          <w:rFonts w:eastAsia="Times New Roman"/>
        </w:rPr>
        <w:t xml:space="preserve">rt4sport </w:t>
      </w:r>
      <w:r>
        <w:rPr>
          <w:rFonts w:eastAsia="Times New Roman"/>
        </w:rPr>
        <w:t xml:space="preserve">ETS </w:t>
      </w:r>
      <w:r w:rsidRPr="0042089B">
        <w:rPr>
          <w:rFonts w:eastAsia="Times New Roman"/>
        </w:rPr>
        <w:t>aiuta bambini e ragazzi amputati a gioire della bellezza della vita e a integrarsi nella società attraverso lo sport. si propone di perseguire finalità di solidarietà sociale. In particolare, punta a migliorare la qualità della vita di bambini e ragazzi portatori di protesi di arto e delle loro famiglie, promuovendo e favorendo in Italia lo sport paralimpico.</w:t>
      </w:r>
    </w:p>
    <w:p w:rsidR="0042089B" w:rsidRPr="0042089B" w:rsidRDefault="0042089B" w:rsidP="0042089B">
      <w:pPr>
        <w:rPr>
          <w:rFonts w:eastAsia="Times New Roman"/>
        </w:rPr>
      </w:pPr>
      <w:r>
        <w:rPr>
          <w:rFonts w:eastAsia="Times New Roman"/>
        </w:rPr>
        <w:t>La Fondazione</w:t>
      </w:r>
      <w:r w:rsidRPr="0042089B">
        <w:rPr>
          <w:rFonts w:eastAsia="Times New Roman"/>
        </w:rPr>
        <w:t xml:space="preserve"> art4sport </w:t>
      </w:r>
      <w:r>
        <w:rPr>
          <w:rFonts w:eastAsia="Times New Roman"/>
        </w:rPr>
        <w:t xml:space="preserve">ETS </w:t>
      </w:r>
      <w:r w:rsidRPr="0042089B">
        <w:rPr>
          <w:rFonts w:eastAsia="Times New Roman"/>
        </w:rPr>
        <w:t>progetta, finanzia e realizza protesi sportive e ausili per la pratica dello sport paralimpico per bambini e ragazzi con amputazioni di arto, indirizzandoli inoltre nella scelta del percorso sportivo da seguire e dei centri sportivi in cui praticare attività fisica.</w:t>
      </w:r>
    </w:p>
    <w:p w:rsidR="0042089B" w:rsidRPr="0042089B" w:rsidRDefault="0042089B" w:rsidP="0042089B">
      <w:pPr>
        <w:rPr>
          <w:rFonts w:eastAsia="Times New Roman"/>
        </w:rPr>
      </w:pPr>
      <w:r w:rsidRPr="0042089B">
        <w:rPr>
          <w:rFonts w:eastAsia="Times New Roman"/>
        </w:rPr>
        <w:t xml:space="preserve">Per il raggiungimento dei propri scopi, </w:t>
      </w:r>
      <w:r>
        <w:rPr>
          <w:rFonts w:eastAsia="Times New Roman"/>
        </w:rPr>
        <w:t>la Fondazione</w:t>
      </w:r>
      <w:r w:rsidRPr="0042089B">
        <w:rPr>
          <w:rFonts w:eastAsia="Times New Roman"/>
        </w:rPr>
        <w:t xml:space="preserve"> si propone di:</w:t>
      </w:r>
    </w:p>
    <w:p w:rsidR="0042089B" w:rsidRPr="0042089B" w:rsidRDefault="0042089B" w:rsidP="0042089B">
      <w:pPr>
        <w:numPr>
          <w:ilvl w:val="0"/>
          <w:numId w:val="42"/>
        </w:numPr>
        <w:rPr>
          <w:rFonts w:eastAsia="Times New Roman"/>
        </w:rPr>
      </w:pPr>
      <w:r>
        <w:rPr>
          <w:rFonts w:eastAsia="Times New Roman"/>
        </w:rPr>
        <w:t>U</w:t>
      </w:r>
      <w:r w:rsidRPr="0042089B">
        <w:rPr>
          <w:rFonts w:eastAsia="Times New Roman"/>
        </w:rPr>
        <w:t xml:space="preserve">tilizzare lo sport come terapia per il recupero fisico e psicologico dei bambini e ragazzi con disabilità; </w:t>
      </w:r>
    </w:p>
    <w:p w:rsidR="0042089B" w:rsidRPr="0042089B" w:rsidRDefault="0042089B" w:rsidP="0042089B">
      <w:pPr>
        <w:numPr>
          <w:ilvl w:val="0"/>
          <w:numId w:val="42"/>
        </w:numPr>
        <w:rPr>
          <w:rFonts w:eastAsia="Times New Roman"/>
        </w:rPr>
      </w:pPr>
      <w:r>
        <w:rPr>
          <w:rFonts w:eastAsia="Times New Roman"/>
        </w:rPr>
        <w:t>P</w:t>
      </w:r>
      <w:r w:rsidRPr="0042089B">
        <w:rPr>
          <w:rFonts w:eastAsia="Times New Roman"/>
        </w:rPr>
        <w:t xml:space="preserve">romuovere lo sport paralimpico, in particolare a favore dei minori con disabilità, per il loro benessere fisico e una migliore integrazione nella società; </w:t>
      </w:r>
    </w:p>
    <w:p w:rsidR="0042089B" w:rsidRPr="0042089B" w:rsidRDefault="0042089B" w:rsidP="0042089B">
      <w:pPr>
        <w:numPr>
          <w:ilvl w:val="0"/>
          <w:numId w:val="42"/>
        </w:numPr>
        <w:rPr>
          <w:rFonts w:eastAsia="Times New Roman"/>
        </w:rPr>
      </w:pPr>
      <w:r>
        <w:rPr>
          <w:rFonts w:eastAsia="Times New Roman"/>
        </w:rPr>
        <w:t>I</w:t>
      </w:r>
      <w:r w:rsidRPr="0042089B">
        <w:rPr>
          <w:rFonts w:eastAsia="Times New Roman"/>
        </w:rPr>
        <w:t xml:space="preserve">ndirizzare i ragazzi nella scelta del percorso sportivo e dei centri in cui praticare attività fisica; </w:t>
      </w:r>
    </w:p>
    <w:p w:rsidR="0042089B" w:rsidRPr="0042089B" w:rsidRDefault="0042089B" w:rsidP="0042089B">
      <w:pPr>
        <w:numPr>
          <w:ilvl w:val="0"/>
          <w:numId w:val="42"/>
        </w:numPr>
        <w:rPr>
          <w:rFonts w:eastAsia="Times New Roman"/>
        </w:rPr>
      </w:pPr>
      <w:r>
        <w:rPr>
          <w:rFonts w:eastAsia="Times New Roman"/>
        </w:rPr>
        <w:t>C</w:t>
      </w:r>
      <w:r w:rsidRPr="0042089B">
        <w:rPr>
          <w:rFonts w:eastAsia="Times New Roman"/>
        </w:rPr>
        <w:t xml:space="preserve">reare una rete di contatti tra tecnici, specialisti, professionisti e associazioni sportive del settore; </w:t>
      </w:r>
    </w:p>
    <w:p w:rsidR="0042089B" w:rsidRPr="0042089B" w:rsidRDefault="0042089B" w:rsidP="0042089B">
      <w:pPr>
        <w:numPr>
          <w:ilvl w:val="0"/>
          <w:numId w:val="42"/>
        </w:numPr>
        <w:rPr>
          <w:rFonts w:eastAsia="Times New Roman"/>
        </w:rPr>
      </w:pPr>
      <w:r>
        <w:rPr>
          <w:rFonts w:eastAsia="Times New Roman"/>
        </w:rPr>
        <w:t>S</w:t>
      </w:r>
      <w:r w:rsidRPr="0042089B">
        <w:rPr>
          <w:rFonts w:eastAsia="Times New Roman"/>
        </w:rPr>
        <w:t xml:space="preserve">tudiare, realizzare e finanziare protesi sportive e ausili necessari alla pratica dello sport paralimpico. </w:t>
      </w:r>
    </w:p>
    <w:p w:rsidR="00315CF2" w:rsidRDefault="00315CF2" w:rsidP="00315CF2"/>
    <w:p w:rsidR="00315CF2" w:rsidRDefault="006924C6" w:rsidP="00315CF2">
      <w:pPr>
        <w:pStyle w:val="Titolo3"/>
      </w:pPr>
      <w:r>
        <w:t>Missione perseguita e attività di interesse generale</w:t>
      </w:r>
    </w:p>
    <w:p w:rsidR="00391E06" w:rsidRDefault="00391E06" w:rsidP="00391E06">
      <w:pPr>
        <w:pStyle w:val="Titolo4"/>
      </w:pPr>
      <w:r>
        <w:t>Commento</w:t>
      </w:r>
    </w:p>
    <w:p w:rsidR="0042089B" w:rsidRPr="00DC764C" w:rsidRDefault="0042089B" w:rsidP="0042089B">
      <w:pPr>
        <w:rPr>
          <w:rFonts w:eastAsia="Times New Roman"/>
        </w:rPr>
      </w:pPr>
      <w:r w:rsidRPr="00DC764C">
        <w:rPr>
          <w:rFonts w:eastAsia="Times New Roman"/>
        </w:rPr>
        <w:t>La Fondazione art4sport ETS aiuta bambini e ragazzi amputati a gioire della vita e a integrarsi nella società attraverso lo sport. È stata riconosciuta come Associazione Benemerita del Comitato Italiano Paralimpico (CIP).</w:t>
      </w:r>
    </w:p>
    <w:p w:rsidR="0042089B" w:rsidRPr="00DC764C" w:rsidRDefault="0042089B" w:rsidP="0042089B">
      <w:pPr>
        <w:rPr>
          <w:rFonts w:eastAsia="Times New Roman"/>
        </w:rPr>
      </w:pPr>
      <w:r w:rsidRPr="00DC764C">
        <w:rPr>
          <w:rFonts w:eastAsia="Times New Roman"/>
        </w:rPr>
        <w:t>La Fondazione progetta, finanzia e realizza protesi sportive e ausili per la pratica dello sport paralimpico, indirizzando inoltre i ragazzi nella scelta del percorso sportivo e dei centri più adatti alla loro attività.</w:t>
      </w:r>
    </w:p>
    <w:p w:rsidR="0042089B" w:rsidRPr="00DC764C" w:rsidRDefault="0042089B" w:rsidP="0042089B">
      <w:pPr>
        <w:rPr>
          <w:rFonts w:eastAsia="Times New Roman"/>
        </w:rPr>
      </w:pPr>
    </w:p>
    <w:p w:rsidR="0042089B" w:rsidRPr="00DC764C" w:rsidRDefault="0042089B" w:rsidP="0042089B">
      <w:pPr>
        <w:rPr>
          <w:rFonts w:eastAsia="Times New Roman"/>
        </w:rPr>
      </w:pPr>
      <w:r w:rsidRPr="00DC764C">
        <w:rPr>
          <w:rFonts w:eastAsia="Times New Roman"/>
          <w:b/>
          <w:bCs/>
        </w:rPr>
        <w:t>L’art4sport team</w:t>
      </w:r>
      <w:r w:rsidRPr="00DC764C">
        <w:rPr>
          <w:rFonts w:eastAsia="Times New Roman"/>
        </w:rPr>
        <w:t xml:space="preserve"> è la squadra formata dagli atleti che la Fondazione aiuta nel raggiungimento del loro sogno sportivo. I membri dell’art4sport team sono ragazzi con disabilità, portatori di protesi di arto, che hanno chiesto di poter aderire ai progetti dell’associazione per poter così iniziare un percorso sportivo o per poter riprendere a praticare lo sport che facevano prima. </w:t>
      </w:r>
    </w:p>
    <w:p w:rsidR="0042089B" w:rsidRPr="00DC764C" w:rsidRDefault="0042089B" w:rsidP="0042089B">
      <w:pPr>
        <w:rPr>
          <w:rFonts w:eastAsia="Times New Roman"/>
        </w:rPr>
      </w:pPr>
      <w:r w:rsidRPr="00DC764C">
        <w:rPr>
          <w:rFonts w:eastAsia="Times New Roman"/>
        </w:rPr>
        <w:t>Non importa quale sport scelgono o il livello “agonistico” che raggiungono, l’importante è che possano nuovamente divertirsi con altri ragazzi, e se poi arrivano anche i successi sportivi, tanto meglio!</w:t>
      </w:r>
    </w:p>
    <w:p w:rsidR="0042089B" w:rsidRPr="00DC764C" w:rsidRDefault="0042089B" w:rsidP="0042089B">
      <w:pPr>
        <w:rPr>
          <w:rFonts w:eastAsia="Times New Roman"/>
        </w:rPr>
      </w:pPr>
      <w:r w:rsidRPr="00DC764C">
        <w:rPr>
          <w:rFonts w:eastAsia="Times New Roman"/>
        </w:rPr>
        <w:t>Nel 2025, l’art4sport team si è ampliato, passando da 49 a 51 ragazzi.</w:t>
      </w:r>
    </w:p>
    <w:p w:rsidR="0042089B" w:rsidRPr="00DC764C" w:rsidRDefault="0042089B" w:rsidP="0042089B">
      <w:pPr>
        <w:rPr>
          <w:rFonts w:eastAsia="Times New Roman"/>
        </w:rPr>
      </w:pPr>
    </w:p>
    <w:p w:rsidR="0042089B" w:rsidRPr="00DC764C" w:rsidRDefault="0042089B" w:rsidP="0042089B">
      <w:pPr>
        <w:rPr>
          <w:rFonts w:eastAsia="Times New Roman"/>
          <w:b/>
          <w:bCs/>
        </w:rPr>
      </w:pPr>
      <w:r w:rsidRPr="00DC764C">
        <w:rPr>
          <w:rFonts w:eastAsia="Times New Roman"/>
          <w:b/>
          <w:bCs/>
        </w:rPr>
        <w:t>Protesi e ausili finanziati nel 2025</w:t>
      </w:r>
    </w:p>
    <w:p w:rsidR="0042089B" w:rsidRPr="00DC764C" w:rsidRDefault="0042089B" w:rsidP="0042089B">
      <w:pPr>
        <w:rPr>
          <w:rFonts w:eastAsia="Times New Roman"/>
        </w:rPr>
      </w:pPr>
      <w:r w:rsidRPr="00DC764C">
        <w:rPr>
          <w:rFonts w:eastAsia="Times New Roman"/>
        </w:rPr>
        <w:t>Nel corso del 2025, la Fondazione ha acquistato diverse protesi e ausili sportivi per i ragazzi del team:</w:t>
      </w:r>
    </w:p>
    <w:p w:rsidR="0042089B" w:rsidRPr="00DC764C" w:rsidRDefault="0042089B" w:rsidP="0042089B">
      <w:pPr>
        <w:numPr>
          <w:ilvl w:val="0"/>
          <w:numId w:val="47"/>
        </w:numPr>
        <w:contextualSpacing/>
        <w:rPr>
          <w:rFonts w:eastAsia="Times New Roman"/>
        </w:rPr>
      </w:pPr>
      <w:r w:rsidRPr="00DC764C">
        <w:rPr>
          <w:rFonts w:ascii="Segoe UI Symbol" w:eastAsia="Times New Roman" w:hAnsi="Segoe UI Symbol" w:cs="Segoe UI Symbol"/>
        </w:rPr>
        <w:t>⁠</w:t>
      </w:r>
      <w:r w:rsidR="00E35330" w:rsidRPr="00DC764C">
        <w:rPr>
          <w:rFonts w:eastAsia="Times New Roman"/>
        </w:rPr>
        <w:t>L</w:t>
      </w:r>
      <w:r w:rsidRPr="00DC764C">
        <w:rPr>
          <w:rFonts w:eastAsia="Times New Roman"/>
        </w:rPr>
        <w:t>ame da corsa;</w:t>
      </w:r>
    </w:p>
    <w:p w:rsidR="0042089B" w:rsidRPr="00DC764C" w:rsidRDefault="00E35330" w:rsidP="0042089B">
      <w:pPr>
        <w:numPr>
          <w:ilvl w:val="0"/>
          <w:numId w:val="47"/>
        </w:numPr>
        <w:contextualSpacing/>
        <w:rPr>
          <w:rFonts w:eastAsia="Times New Roman"/>
        </w:rPr>
      </w:pPr>
      <w:r w:rsidRPr="00DC764C">
        <w:rPr>
          <w:rFonts w:eastAsia="Times New Roman"/>
        </w:rPr>
        <w:t>G</w:t>
      </w:r>
      <w:r w:rsidR="0042089B" w:rsidRPr="00DC764C">
        <w:rPr>
          <w:rFonts w:eastAsia="Times New Roman"/>
        </w:rPr>
        <w:t>inocchio da corsa;</w:t>
      </w:r>
    </w:p>
    <w:p w:rsidR="0042089B" w:rsidRPr="00DC764C" w:rsidRDefault="0042089B" w:rsidP="0042089B">
      <w:pPr>
        <w:numPr>
          <w:ilvl w:val="0"/>
          <w:numId w:val="47"/>
        </w:numPr>
        <w:contextualSpacing/>
        <w:rPr>
          <w:rFonts w:eastAsia="Times New Roman"/>
        </w:rPr>
      </w:pPr>
      <w:r w:rsidRPr="00DC764C">
        <w:rPr>
          <w:rFonts w:ascii="Segoe UI Symbol" w:eastAsia="Times New Roman" w:hAnsi="Segoe UI Symbol" w:cs="Segoe UI Symbol"/>
        </w:rPr>
        <w:t>⁠</w:t>
      </w:r>
      <w:r w:rsidR="00E35330" w:rsidRPr="00DC764C">
        <w:rPr>
          <w:rFonts w:eastAsia="Times New Roman"/>
        </w:rPr>
        <w:t>I</w:t>
      </w:r>
      <w:r w:rsidRPr="00DC764C">
        <w:rPr>
          <w:rFonts w:eastAsia="Times New Roman"/>
        </w:rPr>
        <w:t>nvaso seal-in;</w:t>
      </w:r>
    </w:p>
    <w:p w:rsidR="0042089B" w:rsidRPr="00DC764C" w:rsidRDefault="0042089B" w:rsidP="0042089B">
      <w:pPr>
        <w:numPr>
          <w:ilvl w:val="0"/>
          <w:numId w:val="47"/>
        </w:numPr>
        <w:contextualSpacing/>
        <w:rPr>
          <w:rFonts w:eastAsia="Times New Roman"/>
        </w:rPr>
      </w:pPr>
      <w:r w:rsidRPr="00DC764C">
        <w:rPr>
          <w:rFonts w:ascii="Segoe UI Symbol" w:eastAsia="Times New Roman" w:hAnsi="Segoe UI Symbol" w:cs="Segoe UI Symbol"/>
        </w:rPr>
        <w:t>⁠</w:t>
      </w:r>
      <w:r w:rsidR="00E35330" w:rsidRPr="00DC764C">
        <w:rPr>
          <w:rFonts w:eastAsia="Times New Roman"/>
        </w:rPr>
        <w:t>I</w:t>
      </w:r>
      <w:r w:rsidRPr="00DC764C">
        <w:rPr>
          <w:rFonts w:eastAsia="Times New Roman"/>
        </w:rPr>
        <w:t>nvasi per protesi d’arto inferiore;</w:t>
      </w:r>
    </w:p>
    <w:p w:rsidR="0042089B" w:rsidRPr="00DC764C" w:rsidRDefault="0042089B" w:rsidP="0042089B">
      <w:pPr>
        <w:numPr>
          <w:ilvl w:val="0"/>
          <w:numId w:val="47"/>
        </w:numPr>
        <w:contextualSpacing/>
        <w:rPr>
          <w:rFonts w:eastAsia="Times New Roman"/>
        </w:rPr>
      </w:pPr>
      <w:r w:rsidRPr="00DC764C">
        <w:rPr>
          <w:rFonts w:ascii="Segoe UI Symbol" w:eastAsia="Times New Roman" w:hAnsi="Segoe UI Symbol" w:cs="Segoe UI Symbol"/>
        </w:rPr>
        <w:t>⁠</w:t>
      </w:r>
      <w:r w:rsidR="00E35330" w:rsidRPr="00DC764C">
        <w:rPr>
          <w:rFonts w:eastAsia="Times New Roman"/>
        </w:rPr>
        <w:t>I</w:t>
      </w:r>
      <w:r w:rsidRPr="00DC764C">
        <w:rPr>
          <w:rFonts w:eastAsia="Times New Roman"/>
        </w:rPr>
        <w:t>nvasi per lama da corsa;</w:t>
      </w:r>
    </w:p>
    <w:p w:rsidR="0042089B" w:rsidRPr="00DC764C" w:rsidRDefault="0042089B" w:rsidP="0042089B">
      <w:pPr>
        <w:numPr>
          <w:ilvl w:val="0"/>
          <w:numId w:val="47"/>
        </w:numPr>
        <w:contextualSpacing/>
        <w:rPr>
          <w:rFonts w:eastAsia="Times New Roman"/>
        </w:rPr>
      </w:pPr>
      <w:r w:rsidRPr="00DC764C">
        <w:rPr>
          <w:rFonts w:ascii="Segoe UI Symbol" w:eastAsia="Times New Roman" w:hAnsi="Segoe UI Symbol" w:cs="Segoe UI Symbol"/>
        </w:rPr>
        <w:t>⁠</w:t>
      </w:r>
      <w:r w:rsidR="00E35330" w:rsidRPr="00DC764C">
        <w:rPr>
          <w:rFonts w:eastAsia="Times New Roman"/>
        </w:rPr>
        <w:t>I</w:t>
      </w:r>
      <w:r w:rsidRPr="00DC764C">
        <w:rPr>
          <w:rFonts w:eastAsia="Times New Roman"/>
        </w:rPr>
        <w:t>nvaso transradiale per protesi sportiva (sci);</w:t>
      </w:r>
    </w:p>
    <w:p w:rsidR="0042089B" w:rsidRPr="00DC764C" w:rsidRDefault="00E35330" w:rsidP="0042089B">
      <w:pPr>
        <w:numPr>
          <w:ilvl w:val="0"/>
          <w:numId w:val="47"/>
        </w:numPr>
        <w:contextualSpacing/>
        <w:rPr>
          <w:rFonts w:eastAsia="Times New Roman"/>
        </w:rPr>
      </w:pPr>
      <w:r w:rsidRPr="00DC764C">
        <w:rPr>
          <w:rFonts w:eastAsia="Times New Roman"/>
        </w:rPr>
        <w:t>P</w:t>
      </w:r>
      <w:r w:rsidR="0042089B" w:rsidRPr="00DC764C">
        <w:rPr>
          <w:rFonts w:eastAsia="Times New Roman"/>
        </w:rPr>
        <w:t>rotesi sportiva da sci completa di lamina di carbonio;</w:t>
      </w:r>
    </w:p>
    <w:p w:rsidR="0042089B" w:rsidRPr="00DC764C" w:rsidRDefault="00E35330" w:rsidP="0042089B">
      <w:pPr>
        <w:numPr>
          <w:ilvl w:val="0"/>
          <w:numId w:val="47"/>
        </w:numPr>
        <w:contextualSpacing/>
        <w:rPr>
          <w:rFonts w:eastAsia="Times New Roman"/>
        </w:rPr>
      </w:pPr>
      <w:r w:rsidRPr="00DC764C">
        <w:rPr>
          <w:rFonts w:eastAsia="Times New Roman"/>
        </w:rPr>
        <w:t>I</w:t>
      </w:r>
      <w:r w:rsidR="0042089B" w:rsidRPr="00DC764C">
        <w:rPr>
          <w:rFonts w:eastAsia="Times New Roman"/>
        </w:rPr>
        <w:t>nvaso transradiale per protesi sportiva (atletica);</w:t>
      </w:r>
    </w:p>
    <w:p w:rsidR="0042089B" w:rsidRPr="00DC764C" w:rsidRDefault="00E35330" w:rsidP="0042089B">
      <w:pPr>
        <w:numPr>
          <w:ilvl w:val="0"/>
          <w:numId w:val="47"/>
        </w:numPr>
        <w:contextualSpacing/>
        <w:rPr>
          <w:rFonts w:eastAsia="Times New Roman"/>
        </w:rPr>
      </w:pPr>
      <w:r w:rsidRPr="00DC764C">
        <w:rPr>
          <w:rFonts w:eastAsia="Times New Roman"/>
        </w:rPr>
        <w:t>A</w:t>
      </w:r>
      <w:r w:rsidR="0042089B" w:rsidRPr="00DC764C">
        <w:rPr>
          <w:rFonts w:eastAsia="Times New Roman"/>
        </w:rPr>
        <w:t xml:space="preserve">ttacco ice clock 721 per protesi transradiale; </w:t>
      </w:r>
    </w:p>
    <w:p w:rsidR="0042089B" w:rsidRPr="00DC764C" w:rsidRDefault="0042089B" w:rsidP="0042089B">
      <w:pPr>
        <w:numPr>
          <w:ilvl w:val="0"/>
          <w:numId w:val="47"/>
        </w:numPr>
        <w:contextualSpacing/>
        <w:rPr>
          <w:rFonts w:eastAsia="Times New Roman"/>
        </w:rPr>
      </w:pPr>
      <w:r w:rsidRPr="00DC764C">
        <w:rPr>
          <w:rFonts w:ascii="Segoe UI Symbol" w:eastAsia="Times New Roman" w:hAnsi="Segoe UI Symbol" w:cs="Segoe UI Symbol"/>
        </w:rPr>
        <w:t>⁠</w:t>
      </w:r>
      <w:r w:rsidR="00E35330" w:rsidRPr="00DC764C">
        <w:rPr>
          <w:rFonts w:eastAsia="Times New Roman"/>
        </w:rPr>
        <w:t>P</w:t>
      </w:r>
      <w:r w:rsidRPr="00DC764C">
        <w:rPr>
          <w:rFonts w:eastAsia="Times New Roman"/>
        </w:rPr>
        <w:t>rotesi sportiva transradiale per palestra iron lite e cuffia;</w:t>
      </w:r>
    </w:p>
    <w:p w:rsidR="0042089B" w:rsidRPr="00DC764C" w:rsidRDefault="00E35330" w:rsidP="0042089B">
      <w:pPr>
        <w:numPr>
          <w:ilvl w:val="0"/>
          <w:numId w:val="47"/>
        </w:numPr>
        <w:contextualSpacing/>
        <w:rPr>
          <w:rFonts w:eastAsia="Times New Roman"/>
        </w:rPr>
      </w:pPr>
      <w:r w:rsidRPr="00DC764C">
        <w:rPr>
          <w:rFonts w:eastAsia="Times New Roman"/>
        </w:rPr>
        <w:t>P</w:t>
      </w:r>
      <w:r w:rsidR="0042089B" w:rsidRPr="00DC764C">
        <w:rPr>
          <w:rFonts w:eastAsia="Times New Roman"/>
        </w:rPr>
        <w:t>rotesi transtibiale esoscheletrica per nuoto.</w:t>
      </w:r>
    </w:p>
    <w:p w:rsidR="0042089B" w:rsidRPr="00DC764C" w:rsidRDefault="0042089B" w:rsidP="0042089B">
      <w:pPr>
        <w:rPr>
          <w:rFonts w:eastAsia="Times New Roman"/>
        </w:rPr>
      </w:pPr>
      <w:r w:rsidRPr="00DC764C">
        <w:rPr>
          <w:rFonts w:eastAsia="Times New Roman"/>
        </w:rPr>
        <w:t>La Fondazione art4sport ETS, inoltre, organizza numerosi eventi durante l’anno, coinvolgendo i ragazzi dell’art4sport team, le loro famiglie e i vari sponsor che supportano i progetti dell'associazione.</w:t>
      </w:r>
    </w:p>
    <w:p w:rsidR="0042089B" w:rsidRPr="00DC764C" w:rsidRDefault="0042089B" w:rsidP="0042089B">
      <w:pPr>
        <w:rPr>
          <w:rFonts w:eastAsia="Times New Roman"/>
        </w:rPr>
      </w:pPr>
    </w:p>
    <w:p w:rsidR="0042089B" w:rsidRPr="00DC764C" w:rsidRDefault="0042089B" w:rsidP="0042089B">
      <w:pPr>
        <w:rPr>
          <w:rFonts w:eastAsia="Times New Roman"/>
          <w:b/>
          <w:bCs/>
        </w:rPr>
      </w:pPr>
      <w:r w:rsidRPr="00DC764C">
        <w:rPr>
          <w:rFonts w:eastAsia="Times New Roman"/>
          <w:b/>
          <w:bCs/>
        </w:rPr>
        <w:t>Eventi realizzati nel 2025</w:t>
      </w:r>
    </w:p>
    <w:p w:rsidR="0042089B" w:rsidRPr="00DC764C" w:rsidRDefault="0042089B" w:rsidP="0042089B">
      <w:pPr>
        <w:rPr>
          <w:rFonts w:eastAsia="Times New Roman"/>
          <w:b/>
          <w:bCs/>
        </w:rPr>
      </w:pPr>
    </w:p>
    <w:p w:rsidR="0042089B" w:rsidRPr="00DC764C" w:rsidRDefault="0042089B" w:rsidP="0042089B">
      <w:pPr>
        <w:rPr>
          <w:rFonts w:eastAsia="Times New Roman"/>
          <w:b/>
          <w:bCs/>
        </w:rPr>
      </w:pPr>
      <w:r w:rsidRPr="00DC764C">
        <w:rPr>
          <w:rFonts w:eastAsia="Times New Roman"/>
          <w:b/>
          <w:bCs/>
        </w:rPr>
        <w:t>1. WEmbrace Awards</w:t>
      </w:r>
    </w:p>
    <w:p w:rsidR="0042089B" w:rsidRPr="00DC764C" w:rsidRDefault="0042089B" w:rsidP="0042089B">
      <w:pPr>
        <w:rPr>
          <w:rFonts w:eastAsia="Times New Roman"/>
        </w:rPr>
      </w:pPr>
      <w:r w:rsidRPr="00DC764C">
        <w:rPr>
          <w:rFonts w:eastAsia="Times New Roman"/>
        </w:rPr>
        <w:t>I WEmbrace Awards, Charity Gala Dinner a favore di art4sport, si sono svolti il 27 marzo 2025 presso la Fabbrica del Vapore di Milano. Una serata dedicata ad aziende, media partner, amici e sostenitori dalla Fondazione, nata per raccontare e celebrare storie autentiche e profonde capaci di ispirare le persone e le nuove generazioni.</w:t>
      </w:r>
    </w:p>
    <w:p w:rsidR="0042089B" w:rsidRPr="00DC764C" w:rsidRDefault="0042089B" w:rsidP="0042089B">
      <w:pPr>
        <w:rPr>
          <w:rFonts w:eastAsia="Times New Roman"/>
        </w:rPr>
      </w:pPr>
      <w:r w:rsidRPr="00DC764C">
        <w:rPr>
          <w:rFonts w:eastAsia="Times New Roman"/>
        </w:rPr>
        <w:t>I WEmbrace Awards rappresentano un riconoscimento annuale dedicato a persone, associazioni, organizzazioni e imprese che promuovono accoglienza, dialogo, inclusione e connessione umana, contribuendo a costruire una società più aperta e partecipativa. I protagonisti della serata sono i “WEmbracer”: individui e realtà capaci di trasformare valori e idee in azioni concrete, generando un impatto positivo e diventando esempi di collaborazione e cambiamento.</w:t>
      </w:r>
    </w:p>
    <w:p w:rsidR="0042089B" w:rsidRPr="00DC764C" w:rsidRDefault="0042089B" w:rsidP="0042089B">
      <w:pPr>
        <w:rPr>
          <w:rFonts w:eastAsia="Times New Roman"/>
        </w:rPr>
      </w:pPr>
    </w:p>
    <w:p w:rsidR="0042089B" w:rsidRPr="00DC764C" w:rsidRDefault="0042089B" w:rsidP="0042089B">
      <w:pPr>
        <w:rPr>
          <w:rFonts w:eastAsia="Times New Roman"/>
        </w:rPr>
      </w:pPr>
      <w:r w:rsidRPr="00DC764C">
        <w:rPr>
          <w:rFonts w:eastAsia="Times New Roman"/>
        </w:rPr>
        <w:t>Il tema della terza edizione, “TOGETHER OR NOTHING”, celebra il potere della collaborazione come motore di cambiamento. L’unione di competenze, idee e visioni condivise rappresenta la chiave per generare innovazione e promuovere una trasformazione sociale concreta e duratura.</w:t>
      </w:r>
    </w:p>
    <w:p w:rsidR="0042089B" w:rsidRPr="00DC764C" w:rsidRDefault="0042089B" w:rsidP="0042089B">
      <w:pPr>
        <w:rPr>
          <w:rFonts w:eastAsia="Times New Roman"/>
        </w:rPr>
      </w:pPr>
      <w:r w:rsidRPr="00DC764C">
        <w:rPr>
          <w:rFonts w:eastAsia="Times New Roman"/>
        </w:rPr>
        <w:t>Grazie a un Osservatorio composto da professionisti della comunicazione, amici di art4sport, sono state individuate oltre 100 storie. Tra queste, 20 sono state selezionate per la loro capacità di ispirare e sottoposte alla Giuria degli Awards.</w:t>
      </w:r>
    </w:p>
    <w:p w:rsidR="0042089B" w:rsidRPr="00DC764C" w:rsidRDefault="0042089B" w:rsidP="0042089B">
      <w:pPr>
        <w:rPr>
          <w:rFonts w:eastAsia="Times New Roman"/>
        </w:rPr>
      </w:pPr>
    </w:p>
    <w:p w:rsidR="0042089B" w:rsidRPr="00DC764C" w:rsidRDefault="0042089B" w:rsidP="0042089B">
      <w:pPr>
        <w:rPr>
          <w:rFonts w:eastAsia="Times New Roman"/>
        </w:rPr>
      </w:pPr>
      <w:r w:rsidRPr="00DC764C">
        <w:rPr>
          <w:rFonts w:eastAsia="Times New Roman"/>
        </w:rPr>
        <w:t>L’edizione 2025 ha raccontato il valore dell’unione attraverso quattro aree tematiche:</w:t>
      </w:r>
    </w:p>
    <w:p w:rsidR="0042089B" w:rsidRPr="00DC764C" w:rsidRDefault="0042089B" w:rsidP="0042089B">
      <w:pPr>
        <w:numPr>
          <w:ilvl w:val="0"/>
          <w:numId w:val="44"/>
        </w:numPr>
        <w:rPr>
          <w:rFonts w:eastAsia="Times New Roman"/>
        </w:rPr>
      </w:pPr>
      <w:r w:rsidRPr="00DC764C">
        <w:rPr>
          <w:rFonts w:eastAsia="Times New Roman"/>
          <w:b/>
          <w:bCs/>
        </w:rPr>
        <w:t>Action</w:t>
      </w:r>
      <w:r w:rsidRPr="00DC764C">
        <w:rPr>
          <w:rFonts w:eastAsia="Times New Roman"/>
        </w:rPr>
        <w:t xml:space="preserve">: storie di impegno concreto che dimostrano come il cambiamento nasca dall’agire insieme; </w:t>
      </w:r>
    </w:p>
    <w:p w:rsidR="0042089B" w:rsidRPr="00DC764C" w:rsidRDefault="0042089B" w:rsidP="0042089B">
      <w:pPr>
        <w:numPr>
          <w:ilvl w:val="0"/>
          <w:numId w:val="44"/>
        </w:numPr>
        <w:rPr>
          <w:rFonts w:eastAsia="Times New Roman"/>
        </w:rPr>
      </w:pPr>
      <w:r w:rsidRPr="00DC764C">
        <w:rPr>
          <w:rFonts w:eastAsia="Times New Roman"/>
          <w:b/>
          <w:bCs/>
        </w:rPr>
        <w:t>The World</w:t>
      </w:r>
      <w:r w:rsidRPr="00DC764C">
        <w:rPr>
          <w:rFonts w:eastAsia="Times New Roman"/>
        </w:rPr>
        <w:t xml:space="preserve">: iniziative globali che promuovono inclusione e connessione oltre ogni confine; </w:t>
      </w:r>
    </w:p>
    <w:p w:rsidR="0042089B" w:rsidRPr="00DC764C" w:rsidRDefault="0042089B" w:rsidP="0042089B">
      <w:pPr>
        <w:numPr>
          <w:ilvl w:val="0"/>
          <w:numId w:val="44"/>
        </w:numPr>
        <w:rPr>
          <w:rFonts w:eastAsia="Times New Roman"/>
        </w:rPr>
      </w:pPr>
      <w:r w:rsidRPr="00DC764C">
        <w:rPr>
          <w:rFonts w:eastAsia="Times New Roman"/>
          <w:b/>
          <w:bCs/>
        </w:rPr>
        <w:t>Creativity</w:t>
      </w:r>
      <w:r w:rsidRPr="00DC764C">
        <w:rPr>
          <w:rFonts w:eastAsia="Times New Roman"/>
        </w:rPr>
        <w:t xml:space="preserve">: progetti che utilizzano immaginazione e innovazione per creare nuove possibilità; </w:t>
      </w:r>
    </w:p>
    <w:p w:rsidR="0042089B" w:rsidRPr="00DC764C" w:rsidRDefault="0042089B" w:rsidP="0042089B">
      <w:pPr>
        <w:numPr>
          <w:ilvl w:val="0"/>
          <w:numId w:val="44"/>
        </w:numPr>
        <w:rPr>
          <w:rFonts w:eastAsia="Times New Roman"/>
        </w:rPr>
      </w:pPr>
      <w:r w:rsidRPr="00DC764C">
        <w:rPr>
          <w:rFonts w:eastAsia="Times New Roman"/>
          <w:b/>
          <w:bCs/>
        </w:rPr>
        <w:t>Opportunity</w:t>
      </w:r>
      <w:r w:rsidRPr="00DC764C">
        <w:rPr>
          <w:rFonts w:eastAsia="Times New Roman"/>
        </w:rPr>
        <w:t xml:space="preserve">: percorsi che trasformano le difficoltà in nuove occasioni di crescita. </w:t>
      </w:r>
    </w:p>
    <w:p w:rsidR="0042089B" w:rsidRPr="00DC764C" w:rsidRDefault="0042089B" w:rsidP="0042089B">
      <w:pPr>
        <w:rPr>
          <w:rFonts w:eastAsia="Times New Roman"/>
        </w:rPr>
      </w:pPr>
    </w:p>
    <w:p w:rsidR="0042089B" w:rsidRPr="00DC764C" w:rsidRDefault="0042089B" w:rsidP="0042089B">
      <w:pPr>
        <w:rPr>
          <w:rFonts w:eastAsia="Times New Roman"/>
        </w:rPr>
      </w:pPr>
      <w:r w:rsidRPr="00DC764C">
        <w:rPr>
          <w:rFonts w:eastAsia="Times New Roman"/>
        </w:rPr>
        <w:t>I WEmbrace Awards fanno parte del movimento WEmbrace (“Noi abbracciamo”), promosso da art4sport per valorizzare le diversità e costruire connessioni capaci di generare impatto positivo e duraturo.</w:t>
      </w:r>
    </w:p>
    <w:p w:rsidR="0042089B" w:rsidRPr="00DC764C" w:rsidRDefault="0042089B" w:rsidP="0042089B">
      <w:pPr>
        <w:rPr>
          <w:rFonts w:eastAsia="Times New Roman"/>
        </w:rPr>
      </w:pPr>
    </w:p>
    <w:p w:rsidR="0042089B" w:rsidRPr="00DC764C" w:rsidRDefault="0042089B" w:rsidP="0042089B">
      <w:pPr>
        <w:rPr>
          <w:rFonts w:eastAsia="Times New Roman"/>
          <w:b/>
          <w:bCs/>
        </w:rPr>
      </w:pPr>
      <w:r w:rsidRPr="00DC764C">
        <w:rPr>
          <w:rFonts w:eastAsia="Times New Roman"/>
          <w:b/>
          <w:bCs/>
        </w:rPr>
        <w:t>2. WEmbrace Games</w:t>
      </w:r>
    </w:p>
    <w:p w:rsidR="0042089B" w:rsidRPr="00DC764C" w:rsidRDefault="0042089B" w:rsidP="0042089B">
      <w:pPr>
        <w:rPr>
          <w:rFonts w:eastAsia="Times New Roman"/>
        </w:rPr>
      </w:pPr>
      <w:r w:rsidRPr="00DC764C">
        <w:rPr>
          <w:rFonts w:eastAsia="Times New Roman"/>
        </w:rPr>
        <w:t>Il 12 giugno 2025, allo Stadio dei Marmi di Roma, si è svolta la tredicesima edizione dei WEmbrace Games, la manifestazione benefica organizzata dalla Fondazione art4sport ETS che celebra inclusione, sport e condivisione.</w:t>
      </w:r>
    </w:p>
    <w:p w:rsidR="0042089B" w:rsidRPr="00DC764C" w:rsidRDefault="0042089B" w:rsidP="0042089B">
      <w:pPr>
        <w:rPr>
          <w:rFonts w:eastAsia="Times New Roman"/>
        </w:rPr>
      </w:pPr>
      <w:r w:rsidRPr="00DC764C">
        <w:rPr>
          <w:rFonts w:eastAsia="Times New Roman"/>
        </w:rPr>
        <w:t>Il tema dell’edizione 2025, “Space Games Edition”, ha trasformato lo Stadio dei Marmi in una “galassia dell’inclusione”, invitando tutti a superare i propri limiti e immaginare nuove possibilità.</w:t>
      </w:r>
    </w:p>
    <w:p w:rsidR="0042089B" w:rsidRPr="00DC764C" w:rsidRDefault="0042089B" w:rsidP="0042089B">
      <w:pPr>
        <w:rPr>
          <w:rFonts w:eastAsia="Times New Roman"/>
        </w:rPr>
      </w:pPr>
      <w:r w:rsidRPr="00DC764C">
        <w:rPr>
          <w:rFonts w:eastAsia="Times New Roman"/>
        </w:rPr>
        <w:t>L’evento ha visto la partecipazione di otto squadre provenienti da tutta Italia e rappresentative dei partner: Napoli, Bologna, Bebe Vio Academy Roma, Genova, Bari, Milano, Firenze e Tokyo. Le squadre, composte da adulti e bambini con e senza disabilità, sono state affiancate da ospiti del mondo dello sport e dello spettacolo.</w:t>
      </w:r>
    </w:p>
    <w:p w:rsidR="0042089B" w:rsidRPr="00DC764C" w:rsidRDefault="0042089B" w:rsidP="0042089B">
      <w:pPr>
        <w:rPr>
          <w:rFonts w:eastAsia="Times New Roman"/>
        </w:rPr>
      </w:pPr>
    </w:p>
    <w:p w:rsidR="0042089B" w:rsidRPr="00DC764C" w:rsidRDefault="0042089B" w:rsidP="0042089B">
      <w:pPr>
        <w:rPr>
          <w:rFonts w:eastAsia="Times New Roman"/>
        </w:rPr>
      </w:pPr>
      <w:r w:rsidRPr="00DC764C">
        <w:rPr>
          <w:rFonts w:eastAsia="Times New Roman"/>
        </w:rPr>
        <w:t>Le sfide si sono articolate in tre giochi:</w:t>
      </w:r>
    </w:p>
    <w:p w:rsidR="0042089B" w:rsidRPr="00DC764C" w:rsidRDefault="0042089B" w:rsidP="0042089B">
      <w:pPr>
        <w:numPr>
          <w:ilvl w:val="0"/>
          <w:numId w:val="45"/>
        </w:numPr>
        <w:rPr>
          <w:rFonts w:eastAsia="Times New Roman"/>
        </w:rPr>
      </w:pPr>
      <w:r w:rsidRPr="00DC764C">
        <w:rPr>
          <w:rFonts w:eastAsia="Times New Roman"/>
        </w:rPr>
        <w:t xml:space="preserve">“Space Invaders” </w:t>
      </w:r>
    </w:p>
    <w:p w:rsidR="0042089B" w:rsidRPr="00DC764C" w:rsidRDefault="0042089B" w:rsidP="0042089B">
      <w:pPr>
        <w:numPr>
          <w:ilvl w:val="0"/>
          <w:numId w:val="45"/>
        </w:numPr>
        <w:rPr>
          <w:rFonts w:eastAsia="Times New Roman"/>
        </w:rPr>
      </w:pPr>
      <w:r w:rsidRPr="00DC764C">
        <w:rPr>
          <w:rFonts w:eastAsia="Times New Roman"/>
        </w:rPr>
        <w:t xml:space="preserve">“Assembla e Decolla” </w:t>
      </w:r>
    </w:p>
    <w:p w:rsidR="0042089B" w:rsidRPr="00DC764C" w:rsidRDefault="0042089B" w:rsidP="0042089B">
      <w:pPr>
        <w:numPr>
          <w:ilvl w:val="0"/>
          <w:numId w:val="45"/>
        </w:numPr>
        <w:rPr>
          <w:rFonts w:eastAsia="Times New Roman"/>
        </w:rPr>
      </w:pPr>
      <w:r w:rsidRPr="00DC764C">
        <w:rPr>
          <w:rFonts w:eastAsia="Times New Roman"/>
        </w:rPr>
        <w:t xml:space="preserve">“Componi la Galassia” </w:t>
      </w:r>
    </w:p>
    <w:p w:rsidR="0042089B" w:rsidRPr="00DC764C" w:rsidRDefault="0042089B" w:rsidP="00A435B7">
      <w:pPr>
        <w:rPr>
          <w:rFonts w:eastAsia="Times New Roman"/>
        </w:rPr>
      </w:pPr>
    </w:p>
    <w:p w:rsidR="0042089B" w:rsidRPr="00DC764C" w:rsidRDefault="0042089B" w:rsidP="0042089B">
      <w:pPr>
        <w:rPr>
          <w:rFonts w:eastAsia="Times New Roman"/>
        </w:rPr>
      </w:pPr>
      <w:r w:rsidRPr="00DC764C">
        <w:rPr>
          <w:rFonts w:eastAsia="Times New Roman"/>
        </w:rPr>
        <w:t>La serata, condotta da Giorgio Maria Daviddi e Furio Corsetti del Trio Medusa con gli inviati di Radio Deejay, ha visto la partecipazione di numerosi ospiti che hanno contribuito a diffondere il valore dell’inclusione attraverso lo sport. I WEmbrace Games rappresentano un momento simbolico in cui lo sport diventa strumento di incontro, crescita e partecipazione, in cui le differenze si trasformano in risorsa.</w:t>
      </w:r>
    </w:p>
    <w:p w:rsidR="0042089B" w:rsidRPr="00DC764C" w:rsidRDefault="0042089B" w:rsidP="0042089B">
      <w:pPr>
        <w:rPr>
          <w:rFonts w:eastAsia="Times New Roman"/>
        </w:rPr>
      </w:pPr>
      <w:r w:rsidRPr="00DC764C">
        <w:rPr>
          <w:rFonts w:eastAsia="Times New Roman"/>
        </w:rPr>
        <w:t>Dal 2022 l’evento è entrato a far parte del movimento WEmbrace, promosso da art4sport per valorizzare la diversità attraverso esperienze condivise.</w:t>
      </w:r>
    </w:p>
    <w:p w:rsidR="0042089B" w:rsidRPr="00DC764C" w:rsidRDefault="0042089B" w:rsidP="0042089B">
      <w:pPr>
        <w:rPr>
          <w:rFonts w:eastAsia="Times New Roman"/>
        </w:rPr>
      </w:pPr>
    </w:p>
    <w:p w:rsidR="0042089B" w:rsidRPr="00DC764C" w:rsidRDefault="0042089B" w:rsidP="0042089B">
      <w:pPr>
        <w:rPr>
          <w:rFonts w:eastAsia="Times New Roman"/>
          <w:b/>
          <w:bCs/>
        </w:rPr>
      </w:pPr>
      <w:r w:rsidRPr="00DC764C">
        <w:rPr>
          <w:rFonts w:eastAsia="Times New Roman"/>
          <w:b/>
          <w:bCs/>
        </w:rPr>
        <w:t>3. Compleanno dell’Associazione</w:t>
      </w:r>
    </w:p>
    <w:p w:rsidR="0042089B" w:rsidRPr="00DC764C" w:rsidRDefault="0042089B" w:rsidP="0042089B">
      <w:pPr>
        <w:rPr>
          <w:rFonts w:eastAsia="Times New Roman"/>
        </w:rPr>
      </w:pPr>
      <w:r w:rsidRPr="00DC764C">
        <w:rPr>
          <w:rFonts w:eastAsia="Times New Roman"/>
        </w:rPr>
        <w:t xml:space="preserve">Ogni anno la Fondazione art4sport ETS celebra il proprio anniversario con un momento dedicato ad atleti, famiglie, staff e partner. Per il sedicesimo compleanno (2025), la celebrazione è stata spostata a gennaio 2026 per ragioni organizzative legate alla neve e si è svolta nell’ambito di </w:t>
      </w:r>
      <w:r w:rsidRPr="00DC764C">
        <w:rPr>
          <w:rFonts w:eastAsia="Times New Roman"/>
          <w:b/>
          <w:bCs/>
        </w:rPr>
        <w:t>WEmbrace Snow 2026</w:t>
      </w:r>
      <w:r w:rsidRPr="00DC764C">
        <w:rPr>
          <w:rFonts w:eastAsia="Times New Roman"/>
        </w:rPr>
        <w:t xml:space="preserve"> a Sestriere (TO).</w:t>
      </w:r>
    </w:p>
    <w:p w:rsidR="0042089B" w:rsidRPr="00DC764C" w:rsidRDefault="0042089B" w:rsidP="0042089B">
      <w:pPr>
        <w:rPr>
          <w:rFonts w:eastAsia="Times New Roman"/>
        </w:rPr>
      </w:pPr>
      <w:r w:rsidRPr="00DC764C">
        <w:rPr>
          <w:rFonts w:eastAsia="Times New Roman"/>
        </w:rPr>
        <w:t>La grande famiglia art4sport si è ritrovata per vivere alcuni giorni di sport, inclusione e condivisione sulla neve, in un’esperienza pensata per avvicinare i ragazzi agli sport invernali in un contesto accessibile e inclusivo.</w:t>
      </w:r>
    </w:p>
    <w:p w:rsidR="0042089B" w:rsidRPr="00DC764C" w:rsidRDefault="0042089B" w:rsidP="0042089B">
      <w:pPr>
        <w:rPr>
          <w:rFonts w:eastAsia="Times New Roman"/>
        </w:rPr>
      </w:pPr>
    </w:p>
    <w:p w:rsidR="0042089B" w:rsidRPr="00DC764C" w:rsidRDefault="0042089B" w:rsidP="0042089B">
      <w:pPr>
        <w:rPr>
          <w:rFonts w:eastAsia="Times New Roman"/>
        </w:rPr>
      </w:pPr>
      <w:r w:rsidRPr="00DC764C">
        <w:rPr>
          <w:rFonts w:eastAsia="Times New Roman"/>
        </w:rPr>
        <w:t>Attività svolte:</w:t>
      </w:r>
    </w:p>
    <w:p w:rsidR="0042089B" w:rsidRPr="00DC764C" w:rsidRDefault="0042089B" w:rsidP="0042089B">
      <w:pPr>
        <w:numPr>
          <w:ilvl w:val="0"/>
          <w:numId w:val="46"/>
        </w:numPr>
        <w:rPr>
          <w:rFonts w:eastAsia="Times New Roman"/>
        </w:rPr>
      </w:pPr>
      <w:r w:rsidRPr="00DC764C">
        <w:rPr>
          <w:rFonts w:eastAsia="Times New Roman"/>
        </w:rPr>
        <w:t xml:space="preserve">lezioni di sci con maestri specializzati; </w:t>
      </w:r>
    </w:p>
    <w:p w:rsidR="0042089B" w:rsidRPr="00DC764C" w:rsidRDefault="0042089B" w:rsidP="0042089B">
      <w:pPr>
        <w:numPr>
          <w:ilvl w:val="0"/>
          <w:numId w:val="46"/>
        </w:numPr>
        <w:rPr>
          <w:rFonts w:eastAsia="Times New Roman"/>
        </w:rPr>
      </w:pPr>
      <w:r w:rsidRPr="00DC764C">
        <w:rPr>
          <w:rFonts w:eastAsia="Times New Roman"/>
        </w:rPr>
        <w:t xml:space="preserve">attività sportive e ricreative sulla neve; </w:t>
      </w:r>
    </w:p>
    <w:p w:rsidR="0042089B" w:rsidRPr="00DC764C" w:rsidRDefault="0042089B" w:rsidP="0042089B">
      <w:pPr>
        <w:numPr>
          <w:ilvl w:val="0"/>
          <w:numId w:val="46"/>
        </w:numPr>
        <w:rPr>
          <w:rFonts w:eastAsia="Times New Roman"/>
        </w:rPr>
      </w:pPr>
      <w:r w:rsidRPr="00DC764C">
        <w:rPr>
          <w:rFonts w:eastAsia="Times New Roman"/>
        </w:rPr>
        <w:t xml:space="preserve">momenti di condivisione tra atleti, famiglie, staff e partner; </w:t>
      </w:r>
    </w:p>
    <w:p w:rsidR="0042089B" w:rsidRPr="00DC764C" w:rsidRDefault="0042089B" w:rsidP="0042089B">
      <w:pPr>
        <w:numPr>
          <w:ilvl w:val="0"/>
          <w:numId w:val="46"/>
        </w:numPr>
        <w:rPr>
          <w:rFonts w:eastAsia="Times New Roman"/>
        </w:rPr>
      </w:pPr>
      <w:r w:rsidRPr="00DC764C">
        <w:rPr>
          <w:rFonts w:eastAsia="Times New Roman"/>
        </w:rPr>
        <w:t xml:space="preserve">Trofeo WEmbrace Snow; </w:t>
      </w:r>
    </w:p>
    <w:p w:rsidR="0042089B" w:rsidRPr="00DC764C" w:rsidRDefault="0042089B" w:rsidP="0042089B">
      <w:pPr>
        <w:numPr>
          <w:ilvl w:val="0"/>
          <w:numId w:val="46"/>
        </w:numPr>
        <w:rPr>
          <w:rFonts w:eastAsia="Times New Roman"/>
        </w:rPr>
      </w:pPr>
      <w:r w:rsidRPr="00DC764C">
        <w:rPr>
          <w:rFonts w:eastAsia="Times New Roman"/>
        </w:rPr>
        <w:t xml:space="preserve">celebrazione del sedicesimo compleanno della Fondazione. </w:t>
      </w:r>
    </w:p>
    <w:p w:rsidR="0042089B" w:rsidRPr="00DC764C" w:rsidRDefault="0042089B" w:rsidP="00A435B7">
      <w:pPr>
        <w:rPr>
          <w:rFonts w:eastAsia="Times New Roman"/>
        </w:rPr>
      </w:pPr>
    </w:p>
    <w:p w:rsidR="0042089B" w:rsidRPr="00DC764C" w:rsidRDefault="0042089B" w:rsidP="0042089B">
      <w:pPr>
        <w:rPr>
          <w:rFonts w:eastAsia="Times New Roman"/>
        </w:rPr>
      </w:pPr>
      <w:r w:rsidRPr="00DC764C">
        <w:rPr>
          <w:rFonts w:eastAsia="Times New Roman"/>
        </w:rPr>
        <w:t>L’esperienza ha rappresentato un’importante occasione per promuovere il turismo accessibile, valorizzare lo sport paralimpico invernale e rafforzare il senso di comunità.</w:t>
      </w:r>
    </w:p>
    <w:p w:rsidR="0042089B" w:rsidRPr="00DC764C" w:rsidRDefault="0042089B" w:rsidP="0042089B">
      <w:pPr>
        <w:rPr>
          <w:rFonts w:eastAsia="Times New Roman"/>
        </w:rPr>
      </w:pPr>
      <w:r w:rsidRPr="00DC764C">
        <w:rPr>
          <w:rFonts w:eastAsia="Times New Roman"/>
        </w:rPr>
        <w:t>WEmbrace Snow è un momento di crescita e relazione che permette a tutti i partecipanti di vivere il valore dell’inclusione attraverso lo sport.</w:t>
      </w:r>
    </w:p>
    <w:p w:rsidR="0042089B" w:rsidRPr="00DC764C" w:rsidRDefault="0042089B" w:rsidP="0042089B">
      <w:pPr>
        <w:rPr>
          <w:rFonts w:eastAsia="Times New Roman"/>
        </w:rPr>
      </w:pPr>
    </w:p>
    <w:p w:rsidR="0042089B" w:rsidRPr="00DC764C" w:rsidRDefault="0042089B" w:rsidP="0042089B">
      <w:pPr>
        <w:rPr>
          <w:rFonts w:eastAsia="Times New Roman"/>
          <w:b/>
          <w:bCs/>
        </w:rPr>
      </w:pPr>
      <w:r w:rsidRPr="00DC764C">
        <w:rPr>
          <w:rFonts w:eastAsia="Times New Roman"/>
          <w:b/>
          <w:bCs/>
        </w:rPr>
        <w:t>4. Bebe Vio Academy</w:t>
      </w:r>
    </w:p>
    <w:p w:rsidR="0042089B" w:rsidRPr="00DC764C" w:rsidRDefault="0042089B" w:rsidP="0042089B">
      <w:pPr>
        <w:rPr>
          <w:rFonts w:eastAsia="Times New Roman"/>
        </w:rPr>
      </w:pPr>
      <w:r w:rsidRPr="00DC764C">
        <w:rPr>
          <w:rFonts w:eastAsia="Times New Roman"/>
        </w:rPr>
        <w:t>La Bebe Vio Academy è un progetto organizzato e gestito dalla Fondazione art4sport in partnership con Nike.</w:t>
      </w:r>
    </w:p>
    <w:p w:rsidR="0042089B" w:rsidRPr="00DC764C" w:rsidRDefault="0042089B" w:rsidP="0042089B">
      <w:pPr>
        <w:rPr>
          <w:rFonts w:eastAsia="Times New Roman"/>
        </w:rPr>
      </w:pPr>
      <w:r w:rsidRPr="00DC764C">
        <w:rPr>
          <w:rFonts w:eastAsia="Times New Roman"/>
        </w:rPr>
        <w:t>Si tratta di un programma inclusivo che ha come obiettivo la promozione dello sport paralimpico ed è incentrato sulla visione di Bebe: rendere lo sport accessibile per tutti. I bambini con e senza disabilità fisiche che aderiscono al progetto hanno la possibilità, per un anno, di sperimentare sei diverse discipline sportive paralimpiche: scherma in carrozzina, sitting volley, basket in carrozzina, atletica paralimpica, calcio integrato, tennis in carrozzina (Milano) e rugby in carrozzina (Roma).</w:t>
      </w:r>
    </w:p>
    <w:p w:rsidR="0042089B" w:rsidRPr="00DC764C" w:rsidRDefault="0042089B" w:rsidP="0042089B">
      <w:pPr>
        <w:rPr>
          <w:rFonts w:eastAsia="Times New Roman"/>
        </w:rPr>
      </w:pPr>
    </w:p>
    <w:p w:rsidR="0042089B" w:rsidRPr="00DC764C" w:rsidRDefault="0042089B" w:rsidP="0042089B">
      <w:pPr>
        <w:rPr>
          <w:rFonts w:eastAsia="Times New Roman"/>
        </w:rPr>
      </w:pPr>
      <w:r w:rsidRPr="00DC764C">
        <w:rPr>
          <w:rFonts w:eastAsia="Times New Roman"/>
        </w:rPr>
        <w:t>La Bebe Vio Academy, nel 2025 ha visto il coinvolgimento di circa 100 ragazzi fra i 6 e i 18 anni (con e senza disabilità) nelle sedi di Roma e Milano. Le attività di entrambe le sedi si sono svolte fino a maggio 2026, con due allenamenti settimanali (Roma: martedì e giovedì 17-18, Milano: martedì 15-17 e giovedì 17–19).</w:t>
      </w:r>
    </w:p>
    <w:p w:rsidR="0042089B" w:rsidRPr="00DC764C" w:rsidRDefault="0042089B" w:rsidP="0042089B">
      <w:pPr>
        <w:rPr>
          <w:rFonts w:eastAsia="Times New Roman"/>
        </w:rPr>
      </w:pPr>
    </w:p>
    <w:p w:rsidR="0042089B" w:rsidRPr="00DC764C" w:rsidRDefault="0042089B" w:rsidP="0042089B">
      <w:pPr>
        <w:rPr>
          <w:rFonts w:eastAsia="Times New Roman"/>
        </w:rPr>
      </w:pPr>
      <w:r w:rsidRPr="00DC764C">
        <w:rPr>
          <w:rFonts w:eastAsia="Times New Roman"/>
        </w:rPr>
        <w:t>Le sessioni hanno incluso allenatori, volontari, materiale tecnico e ausili sportivi, tutto fornito gratuitamente da Art4sport, così come l’iscrizione per la partecipazione dei ragazzi.</w:t>
      </w:r>
    </w:p>
    <w:p w:rsidR="00391E06" w:rsidRPr="00391E06" w:rsidRDefault="00391E06" w:rsidP="00391E06"/>
    <w:p w:rsidR="00315CF2" w:rsidRPr="006E2457" w:rsidRDefault="006924C6" w:rsidP="00315CF2">
      <w:pPr>
        <w:pStyle w:val="Titolo3"/>
      </w:pPr>
      <w:r>
        <w:t>Sezione del Registro unico nazionale del Terzo settore d'iscrizione e regime fiscale applicato</w:t>
      </w:r>
    </w:p>
    <w:p w:rsidR="00315CF2" w:rsidRPr="006E2457" w:rsidRDefault="006924C6" w:rsidP="00315CF2">
      <w:pPr>
        <w:pStyle w:val="Titolo4"/>
      </w:pPr>
      <w:r>
        <w:t>Commento</w:t>
      </w:r>
    </w:p>
    <w:p w:rsidR="00EB41C7" w:rsidRDefault="00EB41C7" w:rsidP="00315CF2">
      <w:pPr>
        <w:rPr>
          <w:rFonts w:eastAsia="Times New Roman"/>
        </w:rPr>
      </w:pPr>
      <w:r w:rsidRPr="0042089B">
        <w:rPr>
          <w:rFonts w:eastAsia="Times New Roman"/>
        </w:rPr>
        <w:t>A seguito della domanda presentata in data 2</w:t>
      </w:r>
      <w:r>
        <w:rPr>
          <w:rFonts w:eastAsia="Times New Roman"/>
        </w:rPr>
        <w:t>9</w:t>
      </w:r>
      <w:r w:rsidRPr="0042089B">
        <w:rPr>
          <w:rFonts w:eastAsia="Times New Roman"/>
        </w:rPr>
        <w:t xml:space="preserve">/01/2026 </w:t>
      </w:r>
      <w:r>
        <w:rPr>
          <w:rFonts w:eastAsia="Times New Roman"/>
        </w:rPr>
        <w:t>re</w:t>
      </w:r>
      <w:r w:rsidRPr="0042089B">
        <w:rPr>
          <w:rFonts w:eastAsia="Times New Roman"/>
        </w:rPr>
        <w:t>p</w:t>
      </w:r>
      <w:r>
        <w:rPr>
          <w:rFonts w:eastAsia="Times New Roman"/>
        </w:rPr>
        <w:t>ertorio</w:t>
      </w:r>
      <w:r w:rsidRPr="0042089B">
        <w:rPr>
          <w:rFonts w:eastAsia="Times New Roman"/>
        </w:rPr>
        <w:t xml:space="preserve"> n. 162501 </w:t>
      </w:r>
      <w:r>
        <w:rPr>
          <w:rFonts w:eastAsia="Times New Roman"/>
        </w:rPr>
        <w:t xml:space="preserve">e </w:t>
      </w:r>
      <w:r w:rsidRPr="0042089B">
        <w:rPr>
          <w:rFonts w:eastAsia="Times New Roman"/>
        </w:rPr>
        <w:t>prot</w:t>
      </w:r>
      <w:r>
        <w:rPr>
          <w:rFonts w:eastAsia="Times New Roman"/>
        </w:rPr>
        <w:t>ocollo</w:t>
      </w:r>
      <w:r w:rsidRPr="0042089B">
        <w:rPr>
          <w:rFonts w:eastAsia="Times New Roman"/>
        </w:rPr>
        <w:t xml:space="preserve"> n.</w:t>
      </w:r>
      <w:r>
        <w:rPr>
          <w:rFonts w:eastAsia="Times New Roman"/>
        </w:rPr>
        <w:t xml:space="preserve"> </w:t>
      </w:r>
      <w:r w:rsidRPr="0042089B">
        <w:rPr>
          <w:rFonts w:eastAsia="Times New Roman"/>
        </w:rPr>
        <w:t>0048216\29/01/2026</w:t>
      </w:r>
      <w:r>
        <w:rPr>
          <w:rFonts w:eastAsia="Times New Roman"/>
        </w:rPr>
        <w:t xml:space="preserve"> </w:t>
      </w:r>
      <w:r w:rsidRPr="0042089B">
        <w:rPr>
          <w:rFonts w:eastAsia="Times New Roman"/>
        </w:rPr>
        <w:t>dal Notaio Dott.</w:t>
      </w:r>
      <w:r>
        <w:rPr>
          <w:rFonts w:eastAsia="Times New Roman"/>
        </w:rPr>
        <w:t>ssa</w:t>
      </w:r>
      <w:r w:rsidRPr="0042089B">
        <w:rPr>
          <w:rFonts w:eastAsia="Times New Roman"/>
        </w:rPr>
        <w:t xml:space="preserve"> </w:t>
      </w:r>
      <w:r>
        <w:rPr>
          <w:rFonts w:eastAsia="Times New Roman"/>
        </w:rPr>
        <w:t>Nicoletta Mammucari</w:t>
      </w:r>
      <w:r w:rsidRPr="0042089B">
        <w:rPr>
          <w:rFonts w:eastAsia="Times New Roman"/>
        </w:rPr>
        <w:t xml:space="preserve">, Fondazione </w:t>
      </w:r>
      <w:r>
        <w:rPr>
          <w:rFonts w:eastAsia="Times New Roman"/>
        </w:rPr>
        <w:t>art4sport</w:t>
      </w:r>
      <w:r w:rsidRPr="0042089B">
        <w:rPr>
          <w:rFonts w:eastAsia="Times New Roman"/>
        </w:rPr>
        <w:t xml:space="preserve"> ETS risulta iscritta nel Registro Unico Nazionale del Terzo Settore (RUNTS) sezione “g – Altri enti del Terzo Settore” di cui all’articolo 46 comma 1 del D. Lgs. 117/2017 al repertorio n. 162501</w:t>
      </w:r>
      <w:r>
        <w:rPr>
          <w:rFonts w:eastAsia="Times New Roman"/>
        </w:rPr>
        <w:t xml:space="preserve"> dalla data del 05/03/2026 (decreto n. 11663).</w:t>
      </w:r>
    </w:p>
    <w:p w:rsidR="00EB41C7" w:rsidRPr="00EB41C7" w:rsidRDefault="00EB41C7" w:rsidP="00EB41C7">
      <w:pPr>
        <w:rPr>
          <w:rFonts w:eastAsia="Times New Roman"/>
        </w:rPr>
      </w:pPr>
      <w:r w:rsidRPr="00EB41C7">
        <w:rPr>
          <w:rFonts w:eastAsia="Times New Roman"/>
        </w:rPr>
        <w:t xml:space="preserve">Si evidenzia, inoltre, che in conseguenza dell’iscrizione al RUNTS, Fondazione </w:t>
      </w:r>
      <w:r>
        <w:rPr>
          <w:rFonts w:eastAsia="Times New Roman"/>
        </w:rPr>
        <w:t>art4sport</w:t>
      </w:r>
      <w:r w:rsidRPr="00EB41C7">
        <w:rPr>
          <w:rFonts w:eastAsia="Times New Roman"/>
        </w:rPr>
        <w:t xml:space="preserve"> ETS risulta cancellata dall’anagrafe unica delle ONLUS di cui all’articolo 11 del decreto legislativo 4 dicembre 1992, n. 460 a causa dell’impossibilità di permanenza in entrambi i registri.</w:t>
      </w:r>
    </w:p>
    <w:p w:rsidR="00EB41C7" w:rsidRPr="007A215B" w:rsidRDefault="00EB41C7" w:rsidP="00315CF2"/>
    <w:p w:rsidR="007A215B" w:rsidRDefault="007A215B" w:rsidP="008C6E43">
      <w:r w:rsidRPr="007A215B">
        <w:t>L’ente svolge esclusivamente attività di interesse generale ai sensi dell’art. 5 del D.Lgs. 117/2017</w:t>
      </w:r>
      <w:r w:rsidR="00EB41C7">
        <w:t>, nello specifico:</w:t>
      </w:r>
    </w:p>
    <w:p w:rsidR="00EB41C7" w:rsidRDefault="00EB41C7" w:rsidP="00EB41C7">
      <w:pPr>
        <w:numPr>
          <w:ilvl w:val="0"/>
          <w:numId w:val="48"/>
        </w:numPr>
      </w:pPr>
      <w:r>
        <w:t>R</w:t>
      </w:r>
      <w:r w:rsidRPr="00EB41C7">
        <w:t>icerca scientifica di particolare interesse so</w:t>
      </w:r>
      <w:r>
        <w:t>ciale (lettera h) art.5 del CTS);</w:t>
      </w:r>
    </w:p>
    <w:p w:rsidR="00EB41C7" w:rsidRDefault="00A435B7" w:rsidP="00EB41C7">
      <w:pPr>
        <w:numPr>
          <w:ilvl w:val="0"/>
          <w:numId w:val="48"/>
        </w:numPr>
      </w:pPr>
      <w:r>
        <w:t>O</w:t>
      </w:r>
      <w:r w:rsidR="00EB41C7">
        <w:t>rganizzazione e gestione di attività culturali, artistiche o ricreative di interesse sociale, incluse attività, anche editoriali, di promozione e diffusione della cultura e della pratica del volontariato e delle attività di interesse generale di cui al presente articolo (lettera i) art.5 del CTS);</w:t>
      </w:r>
    </w:p>
    <w:p w:rsidR="00EB41C7" w:rsidRDefault="00A435B7" w:rsidP="00EB41C7">
      <w:pPr>
        <w:numPr>
          <w:ilvl w:val="0"/>
          <w:numId w:val="48"/>
        </w:numPr>
      </w:pPr>
      <w:r>
        <w:t>O</w:t>
      </w:r>
      <w:r w:rsidR="00EB41C7">
        <w:t>rganizzazione e gestione di attività sportive dilettantistiche (lettera t) art.5 del CTS) in particolare per bambini e ragazzi con disabilità fisiche, anche con campagne di sensibilizzazione sia in ambito nazionale che internazionale;</w:t>
      </w:r>
    </w:p>
    <w:p w:rsidR="00EB41C7" w:rsidRDefault="00A435B7" w:rsidP="00EB41C7">
      <w:pPr>
        <w:numPr>
          <w:ilvl w:val="0"/>
          <w:numId w:val="48"/>
        </w:numPr>
      </w:pPr>
      <w:r>
        <w:t>O</w:t>
      </w:r>
      <w:r w:rsidR="00EB41C7">
        <w:t>rganizzazione di attività di beneficienza a favore di altri Enti del Terzo Settore che svolgono attività di interesse generale a norma dell’art.5 del Decreto Legislativo n. 117/17 (lettera u) art.5 del CTS).</w:t>
      </w:r>
    </w:p>
    <w:p w:rsidR="00A435B7" w:rsidRDefault="00A435B7" w:rsidP="00EB41C7"/>
    <w:p w:rsidR="00EB41C7" w:rsidRDefault="00EB41C7" w:rsidP="00EB41C7">
      <w:r>
        <w:t>La Fondazione potrà svolgere attività diverse da quelle di interesse generale, purché siano secondarie e strumentali rispetto a quelle di interesse generale, ai sensi dell'articolo 6 del codice del terzo settore e successive modifiche ed integrazioni, quali:</w:t>
      </w:r>
    </w:p>
    <w:p w:rsidR="00EB41C7" w:rsidRDefault="00EB41C7" w:rsidP="00EB41C7">
      <w:pPr>
        <w:numPr>
          <w:ilvl w:val="0"/>
          <w:numId w:val="49"/>
        </w:numPr>
      </w:pPr>
      <w:r w:rsidRPr="00EB41C7">
        <w:t>Sponsorizzazioni e Partnership</w:t>
      </w:r>
      <w:r>
        <w:t>: la Fondazione, nel rispetto della propria natura di Ente del Terzo Settore e delle finalità civiche, solidaristiche e di utilità sociale, può instaurare rapporti di sponsorizzazione, partnership e collaborazione con soggetti pubblici e privati, italiani o esteri.</w:t>
      </w:r>
    </w:p>
    <w:p w:rsidR="00EB41C7" w:rsidRDefault="00EB41C7" w:rsidP="00EB41C7">
      <w:pPr>
        <w:numPr>
          <w:ilvl w:val="0"/>
          <w:numId w:val="49"/>
        </w:numPr>
      </w:pPr>
      <w:r>
        <w:t>Erogazioni liberali: la Fondazione può ricevere erogazioni liberali in denaro, beni o servizi da persone fisiche, enti pubblici e privati, imprese e qualsiasi altro soggetto che desideri sostenere le attività istituzionali e i progetti della Fondazione.</w:t>
      </w:r>
    </w:p>
    <w:p w:rsidR="00EB41C7" w:rsidRPr="007A215B" w:rsidRDefault="00EB41C7" w:rsidP="004D0DBE">
      <w:pPr>
        <w:numPr>
          <w:ilvl w:val="0"/>
          <w:numId w:val="49"/>
        </w:numPr>
      </w:pPr>
      <w:r>
        <w:t xml:space="preserve">Attività di Raccolta Fondi (Fundraising): la Fondazione può svolgere attività di raccolta fondi, continuativa o occasionale, anche attraverso campagne pubbliche, eventi, strumenti digitali, </w:t>
      </w:r>
      <w:r w:rsidRPr="00EB41C7">
        <w:t xml:space="preserve">call for donors, crowdfunding e altre forme lecite, </w:t>
      </w:r>
      <w:r>
        <w:t>per sostenere le proprie finalità istituzionali e i progetti programmati.</w:t>
      </w:r>
    </w:p>
    <w:p w:rsidR="00EB41C7" w:rsidRDefault="00EB41C7" w:rsidP="00315CF2"/>
    <w:p w:rsidR="00D27662" w:rsidRPr="00EB41C7" w:rsidRDefault="007A215B" w:rsidP="00315CF2">
      <w:r w:rsidRPr="007A215B">
        <w:t xml:space="preserve">I proventi sono di natura non commerciale, secondo le disposizioni di cui all’art. 79 del D.Lgs. 117/2017. </w:t>
      </w:r>
    </w:p>
    <w:p w:rsidR="00315CF2" w:rsidRPr="00E2437B" w:rsidRDefault="00315CF2" w:rsidP="00315CF2">
      <w:pPr>
        <w:rPr>
          <w:highlight w:val="green"/>
        </w:rPr>
      </w:pPr>
    </w:p>
    <w:p w:rsidR="00315CF2" w:rsidRPr="006E2457" w:rsidRDefault="006924C6" w:rsidP="00315CF2">
      <w:pPr>
        <w:pStyle w:val="Titolo3"/>
      </w:pPr>
      <w:r>
        <w:t>Sedi e attività svolte</w:t>
      </w:r>
    </w:p>
    <w:p w:rsidR="00315CF2" w:rsidRPr="006E2457" w:rsidRDefault="006924C6" w:rsidP="00315CF2">
      <w:pPr>
        <w:pStyle w:val="Titolo4"/>
      </w:pPr>
      <w:r>
        <w:t>Commento</w:t>
      </w:r>
    </w:p>
    <w:p w:rsidR="00315CF2" w:rsidRPr="007A215B" w:rsidRDefault="007A215B" w:rsidP="00315CF2">
      <w:r w:rsidRPr="007A215B">
        <w:t xml:space="preserve">L'Ente svolge l'attività esclusivamente presso la propria sede legale. </w:t>
      </w:r>
    </w:p>
    <w:p w:rsidR="00315CF2" w:rsidRPr="006E2457" w:rsidRDefault="006924C6" w:rsidP="00315CF2">
      <w:pPr>
        <w:pStyle w:val="Titolo3"/>
      </w:pPr>
      <w:r>
        <w:t>Dati sugli associati o sui fondatori e sulle attività svolte nei loro confronti</w:t>
      </w:r>
    </w:p>
    <w:p w:rsidR="00315CF2" w:rsidRPr="006E2457" w:rsidRDefault="006924C6" w:rsidP="00315CF2">
      <w:pPr>
        <w:pStyle w:val="Titolo4"/>
      </w:pPr>
      <w:r>
        <w:t>Commento</w:t>
      </w:r>
    </w:p>
    <w:p w:rsidR="00315CF2" w:rsidRDefault="00EB41C7" w:rsidP="00315CF2">
      <w:r>
        <w:t xml:space="preserve">I Partecipanti della Fondazione si dividono in Partecipanti Fondatori e in Partecipanti Sostenitori. </w:t>
      </w:r>
    </w:p>
    <w:p w:rsidR="00EB41C7" w:rsidRDefault="00EB41C7" w:rsidP="00315CF2">
      <w:r>
        <w:t>Alla data della trasformazione in Fondazione e della chiusura del presente esercizio, i Partecipanti risultano essere quattro Fondatori Originari.</w:t>
      </w:r>
    </w:p>
    <w:p w:rsidR="00315CF2" w:rsidRDefault="00315CF2" w:rsidP="00315CF2"/>
    <w:p w:rsidR="00315CF2" w:rsidRPr="006E2457" w:rsidRDefault="006924C6" w:rsidP="00315CF2">
      <w:pPr>
        <w:pStyle w:val="Titolo2"/>
      </w:pPr>
      <w:r>
        <w:t>Illustrazione delle poste di bilancio</w:t>
      </w:r>
    </w:p>
    <w:p w:rsidR="00315CF2" w:rsidRPr="006E2457" w:rsidRDefault="006924C6" w:rsidP="00315CF2">
      <w:pPr>
        <w:pStyle w:val="Titolo3"/>
      </w:pPr>
      <w:r>
        <w:t>Introduzione</w:t>
      </w:r>
    </w:p>
    <w:p w:rsidR="00315CF2" w:rsidRPr="006E2457" w:rsidRDefault="006924C6" w:rsidP="00315CF2">
      <w:pPr>
        <w:pStyle w:val="Titolo4"/>
      </w:pPr>
      <w:r>
        <w:t>Introduzione</w:t>
      </w:r>
    </w:p>
    <w:p w:rsidR="00315CF2" w:rsidRPr="006E2457" w:rsidRDefault="006924C6" w:rsidP="00315CF2">
      <w:pPr>
        <w:pStyle w:val="Titolo5"/>
      </w:pPr>
      <w:r>
        <w:t>Criteri di formazione</w:t>
      </w:r>
    </w:p>
    <w:p w:rsidR="00315CF2" w:rsidRPr="006E2457" w:rsidRDefault="006924C6" w:rsidP="00315CF2">
      <w:pPr>
        <w:pStyle w:val="Titolo6"/>
      </w:pPr>
      <w:r>
        <w:t>Redazione del bilancio</w:t>
      </w:r>
    </w:p>
    <w:p w:rsidR="00315CF2" w:rsidRPr="007A215B" w:rsidRDefault="007A215B" w:rsidP="00315CF2">
      <w:r w:rsidRPr="007A215B">
        <w:t xml:space="preserve">Le informazioni contenute nel presente documento sono presentate secondo l'ordine in cui le relative voci sono indicate nello stato patrimoniale e nel rendiconto gestionale. </w:t>
      </w:r>
    </w:p>
    <w:p w:rsidR="00315CF2" w:rsidRPr="007A215B" w:rsidRDefault="007A215B" w:rsidP="00315CF2">
      <w:r w:rsidRPr="007A215B">
        <w:t xml:space="preserve">In riferimento a quanto indicato nella parte introduttiva della presente relazione di missione, si attesta che, ai sensi dell'art. 2423, comma 3, del codice civile, applicabile in quanto compatibile come disposto dal decreto del Ministero del Lavoro e delle Politiche Sociali del 5 marzo 2020, qualora le informazioni richieste da specifiche disposizioni di legge non siano sufficienti a dare una rappresentazione veritiera e corretta della situazione dell'ente vengono fornite le informazioni complementari ritenute necessarie allo scopo. </w:t>
      </w:r>
    </w:p>
    <w:p w:rsidR="00315CF2" w:rsidRPr="007A215B" w:rsidRDefault="007A215B" w:rsidP="00315CF2">
      <w:r w:rsidRPr="007A215B">
        <w:t xml:space="preserve">Il bilancio d'esercizio, così come la presente relazione di missione, sono stati redatti in unità di euro. </w:t>
      </w:r>
    </w:p>
    <w:p w:rsidR="00315CF2" w:rsidRPr="006E2457" w:rsidRDefault="006924C6" w:rsidP="00315CF2">
      <w:pPr>
        <w:pStyle w:val="Titolo4"/>
      </w:pPr>
      <w:r>
        <w:t>Principi di redazione</w:t>
      </w:r>
    </w:p>
    <w:p w:rsidR="00315CF2" w:rsidRPr="006E2457" w:rsidRDefault="006924C6" w:rsidP="00315CF2">
      <w:pPr>
        <w:pStyle w:val="Titolo5"/>
      </w:pPr>
      <w:r>
        <w:t>Commento</w:t>
      </w:r>
    </w:p>
    <w:p w:rsidR="00315CF2" w:rsidRPr="006E2457" w:rsidRDefault="006924C6" w:rsidP="00315CF2">
      <w:pPr>
        <w:pStyle w:val="Titolo6"/>
      </w:pPr>
      <w:r>
        <w:t>Struttura e contenuto del prospetto di bilancio</w:t>
      </w:r>
    </w:p>
    <w:p w:rsidR="00315CF2" w:rsidRPr="007A215B" w:rsidRDefault="007A215B" w:rsidP="00315CF2">
      <w:r w:rsidRPr="007A215B">
        <w:t xml:space="preserve">Lo stato patrimoniale, il rendiconto gestionale e le informazioni di natura contabile contenute nella presente relazione di missione sono conformi alle scritture contabili, da cui sono stati direttamente desunti. </w:t>
      </w:r>
    </w:p>
    <w:p w:rsidR="00315CF2" w:rsidRPr="007A215B" w:rsidRDefault="007A215B" w:rsidP="00315CF2">
      <w:r w:rsidRPr="007A215B">
        <w:t xml:space="preserve">Nell'esposizione dello stato patrimoniale e del rendiconto gestionale non sono stati effettuati raggruppamenti delle voci precedute da numeri arabi o da lettere minuscole, come invece facoltativamente previsto dal D.M. 5.3.2020. </w:t>
      </w:r>
    </w:p>
    <w:p w:rsidR="007A215B" w:rsidRPr="007A215B" w:rsidRDefault="007A215B" w:rsidP="00315CF2">
      <w:r w:rsidRPr="007A215B">
        <w:t xml:space="preserve">L'ente si è avvalso della possibilità di eliminare le voci precedute da numeri arabi o le voci precedute da lettere  minuscole con importi nulli per due esercizi consecutivi. </w:t>
      </w:r>
    </w:p>
    <w:p w:rsidR="00315CF2" w:rsidRPr="007A215B" w:rsidRDefault="007A215B" w:rsidP="00315CF2">
      <w:r w:rsidRPr="007A215B">
        <w:t xml:space="preserve">Si precisa che l'ente non si è avvalso della facoltà di aggiungere, laddove questo favorisca la chiarezza del bilancio,  voci  precedute  da  numeri  arabi  o  da lettere   minuscole   dell'alfabeto, non ricorrendone i presupposti. </w:t>
      </w:r>
    </w:p>
    <w:p w:rsidR="00315CF2" w:rsidRPr="006E2457" w:rsidRDefault="006924C6" w:rsidP="00315CF2">
      <w:pPr>
        <w:pStyle w:val="Titolo4"/>
      </w:pPr>
      <w:r>
        <w:t>Casi eccezionali ex art. 2423, quinto comma, del Codice Civile</w:t>
      </w:r>
    </w:p>
    <w:p w:rsidR="00315CF2" w:rsidRPr="006E2457" w:rsidRDefault="006924C6" w:rsidP="00315CF2">
      <w:pPr>
        <w:pStyle w:val="Titolo5"/>
      </w:pPr>
      <w:r>
        <w:t>Commento</w:t>
      </w:r>
    </w:p>
    <w:p w:rsidR="00315CF2" w:rsidRDefault="00EB41C7" w:rsidP="00315CF2">
      <w:r w:rsidRPr="00EB41C7">
        <w:t xml:space="preserve">Non si sono verificati casi eccezionali che abbiano reso necessario il ricorso a deroghe di cui all'art. 2423, commi 4 e 5 del codice civile,  applicabili in quanto compatibili con l'assenza dello scopo di lucro  e  con  le  finalità civiche, solidaristiche e di utilità sociale degli Enti del Terzo Settore, come previsto dal D.M. 5.3.2020. </w:t>
      </w:r>
      <w:r w:rsidR="006E329A" w:rsidRPr="006E329A">
        <w:t xml:space="preserve"> </w:t>
      </w:r>
    </w:p>
    <w:p w:rsidR="00315CF2" w:rsidRPr="006E2457" w:rsidRDefault="006924C6" w:rsidP="00315CF2">
      <w:pPr>
        <w:pStyle w:val="Titolo4"/>
      </w:pPr>
      <w:r>
        <w:t>Cambiamenti di principi contabili</w:t>
      </w:r>
    </w:p>
    <w:p w:rsidR="00315CF2" w:rsidRPr="006E2457" w:rsidRDefault="006924C6" w:rsidP="00315CF2">
      <w:pPr>
        <w:pStyle w:val="Titolo5"/>
      </w:pPr>
      <w:r>
        <w:t>Commento</w:t>
      </w:r>
    </w:p>
    <w:p w:rsidR="00315CF2" w:rsidRDefault="00EB41C7" w:rsidP="00315CF2">
      <w:r w:rsidRPr="00EB41C7">
        <w:t xml:space="preserve">Non si sono verificati casi eccezionali che abbiano reso necessario il ricorso a deroghe di cui all'art.2423-bis, comma 2, del codice civile,  applicabile in quanto compatibile con l'assenza dello scopo di lucro  e  con  le  finalità civiche, solidaristiche e di utilità sociale degli Enti del Terzo Settore, come previsto dal D.M. 5.3.2020. </w:t>
      </w:r>
      <w:r w:rsidR="006E329A" w:rsidRPr="006E329A">
        <w:t xml:space="preserve"> </w:t>
      </w:r>
    </w:p>
    <w:p w:rsidR="00315CF2" w:rsidRPr="006E2457" w:rsidRDefault="006924C6" w:rsidP="00315CF2">
      <w:pPr>
        <w:pStyle w:val="Titolo4"/>
      </w:pPr>
      <w:r>
        <w:t>Problematiche di comparabilità e di adattamento</w:t>
      </w:r>
    </w:p>
    <w:p w:rsidR="00315CF2" w:rsidRPr="006E2457" w:rsidRDefault="006924C6" w:rsidP="00315CF2">
      <w:pPr>
        <w:pStyle w:val="Titolo5"/>
      </w:pPr>
      <w:r>
        <w:t>Commento</w:t>
      </w:r>
    </w:p>
    <w:p w:rsidR="00315CF2" w:rsidRPr="007A215B" w:rsidRDefault="007A215B" w:rsidP="00315CF2">
      <w:r w:rsidRPr="007A215B">
        <w:t xml:space="preserve">Si precisa che tutte le voci di bilancio sono risultate comparabili con l'esercizio precedente; non vi è stata pertanto necessità di adattare alcuna voce dell'esercizio precedente. </w:t>
      </w:r>
    </w:p>
    <w:p w:rsidR="00315CF2" w:rsidRDefault="00315CF2" w:rsidP="00315CF2"/>
    <w:p w:rsidR="00315CF2" w:rsidRPr="006E2457" w:rsidRDefault="006924C6" w:rsidP="00315CF2">
      <w:pPr>
        <w:pStyle w:val="Titolo4"/>
      </w:pPr>
      <w:r>
        <w:t>Criteri di valutazione applicati</w:t>
      </w:r>
    </w:p>
    <w:p w:rsidR="00315CF2" w:rsidRPr="006E2457" w:rsidRDefault="006924C6" w:rsidP="00315CF2">
      <w:pPr>
        <w:pStyle w:val="Titolo5"/>
      </w:pPr>
      <w:r>
        <w:t>Commento</w:t>
      </w:r>
    </w:p>
    <w:p w:rsidR="007A215B" w:rsidRPr="007A215B" w:rsidRDefault="007A215B" w:rsidP="008C1040">
      <w:r w:rsidRPr="007A215B">
        <w:t xml:space="preserve">Gli Enti del Terzo Settore osservano le regole, di rilevazione e valutazione, contenute nei principi </w:t>
      </w:r>
    </w:p>
    <w:p w:rsidR="00A435B7" w:rsidRDefault="007A215B" w:rsidP="008C1040">
      <w:r w:rsidRPr="007A215B">
        <w:t>contabili nazionali OIC, tenuto conto delle previsioni specifiche previste dal principio OIC 35 ("Principio contabile ETS").</w:t>
      </w:r>
    </w:p>
    <w:p w:rsidR="007A215B" w:rsidRPr="007A215B" w:rsidRDefault="007A215B" w:rsidP="008C1040">
      <w:r w:rsidRPr="007A215B">
        <w:t xml:space="preserve">I criteri applicati nella valutazione delle voci di bilancio e nelle rettifiche di valore sono conformi alle disposizioni  del decreto del Ministero del Lavoro e delle Politiche Sociali del 5 marzo 2020 e del codice civile, ove compatibili, nonché alle indicazioni contenute nei principi contabili emanati dall'Organismo Italiano di Contabilità. </w:t>
      </w:r>
    </w:p>
    <w:p w:rsidR="0070373B" w:rsidRPr="007A215B" w:rsidRDefault="007A215B" w:rsidP="0070373B">
      <w:r w:rsidRPr="007A215B">
        <w:t xml:space="preserve">Gli stessi, inoltre, non sono variati rispetto all'esercizio precedente. </w:t>
      </w:r>
    </w:p>
    <w:p w:rsidR="0070373B" w:rsidRPr="007A215B" w:rsidRDefault="007A215B" w:rsidP="0070373B">
      <w:r w:rsidRPr="007A215B">
        <w:t xml:space="preserve">Ai sensi del punto 3 del Mod. C di cui all'Allegato 1 al decreto del Ministero del Lavoro e delle Politiche Sociali del 5 marzo 2020, si illustrano i più significativi criteri di valutazione adottati nel rispetto delle disposizioni contenute nel D.M. 5.3.2020 stesso nonché nell'art. 2426 del codice civile, applicabile in quanto compatibile, con particolare riferimento a quelle voci di bilancio per le quali il legislatore ammette diversi criteri di valutazione e di rettifica o per le quali non sono previsti specifici criteri. </w:t>
      </w:r>
    </w:p>
    <w:p w:rsidR="00315CF2" w:rsidRPr="006E2457" w:rsidRDefault="006924C6" w:rsidP="00315CF2">
      <w:pPr>
        <w:pStyle w:val="Titolo6"/>
      </w:pPr>
      <w:r>
        <w:t>Immobilizzazioni immateriali</w:t>
      </w:r>
    </w:p>
    <w:p w:rsidR="00EB41C7" w:rsidRPr="00EB41C7" w:rsidRDefault="00EB41C7" w:rsidP="00EB579F">
      <w:r w:rsidRPr="00EB41C7">
        <w:t xml:space="preserve">Le immobilizzazioni immateriali, ricorrendo i presupposti previsti dai principi contabili, sono iscritte nell’attivo di stato patrimoniale al costo di acquisto e/o di produzione e vengono ammortizzate in quote costanti in funzione della loro utilità futura. </w:t>
      </w:r>
    </w:p>
    <w:p w:rsidR="00EB41C7" w:rsidRPr="00EB41C7" w:rsidRDefault="00EB41C7" w:rsidP="00EB579F">
      <w:r w:rsidRPr="00EB41C7">
        <w:t>Il valore delle immobilizzazioni è esposto al netto dei fondi di ammortamento e delle eventuali svalutazioni.</w:t>
      </w:r>
    </w:p>
    <w:p w:rsidR="00EB41C7" w:rsidRPr="00EB41C7" w:rsidRDefault="00EB41C7" w:rsidP="00EB579F">
      <w:r w:rsidRPr="00EB41C7">
        <w:t>L'ammortamento è stato operato in conformità al seguente piano prestabilito, che si ritiene assicuri una corretta ripartizione del costo sostenuto lungo la vita utile delle immobilizzazioni in oggetto:</w:t>
      </w:r>
    </w:p>
    <w:p w:rsidR="00EB41C7" w:rsidRPr="00EB41C7" w:rsidRDefault="00EB41C7" w:rsidP="00EB579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0"/>
        <w:gridCol w:w="1509"/>
      </w:tblGrid>
      <w:tr w:rsidR="00EB41C7" w:rsidRPr="00EB41C7" w:rsidTr="00EB41C7">
        <w:trPr>
          <w:jc w:val="center"/>
        </w:trPr>
        <w:tc>
          <w:tcPr>
            <w:tcW w:w="4420" w:type="dxa"/>
          </w:tcPr>
          <w:p w:rsidR="00EB41C7" w:rsidRPr="00EB41C7" w:rsidRDefault="00EB41C7">
            <w:pPr>
              <w:rPr>
                <w:b/>
                <w:bCs/>
              </w:rPr>
            </w:pPr>
            <w:r w:rsidRPr="00EB41C7">
              <w:rPr>
                <w:b/>
                <w:bCs/>
              </w:rPr>
              <w:t>Voci immobilizzazioni immateriali</w:t>
            </w:r>
          </w:p>
        </w:tc>
        <w:tc>
          <w:tcPr>
            <w:tcW w:w="1509" w:type="dxa"/>
          </w:tcPr>
          <w:p w:rsidR="00EB41C7" w:rsidRPr="00EB41C7" w:rsidRDefault="00EB41C7" w:rsidP="00EB41C7">
            <w:pPr>
              <w:jc w:val="center"/>
              <w:rPr>
                <w:b/>
                <w:bCs/>
              </w:rPr>
            </w:pPr>
            <w:r w:rsidRPr="00EB41C7">
              <w:rPr>
                <w:b/>
                <w:bCs/>
              </w:rPr>
              <w:t>Periodo</w:t>
            </w:r>
          </w:p>
        </w:tc>
      </w:tr>
      <w:tr w:rsidR="00EB41C7" w:rsidRPr="00EB41C7" w:rsidTr="00EB41C7">
        <w:trPr>
          <w:jc w:val="center"/>
        </w:trPr>
        <w:tc>
          <w:tcPr>
            <w:tcW w:w="4420" w:type="dxa"/>
          </w:tcPr>
          <w:p w:rsidR="00EB41C7" w:rsidRPr="00EB41C7" w:rsidRDefault="00EB41C7">
            <w:r w:rsidRPr="00EB41C7">
              <w:t>Costi di impianto e di ampliamento</w:t>
            </w:r>
          </w:p>
        </w:tc>
        <w:tc>
          <w:tcPr>
            <w:tcW w:w="1509" w:type="dxa"/>
          </w:tcPr>
          <w:p w:rsidR="00EB41C7" w:rsidRPr="00EB41C7" w:rsidRDefault="00EB41C7" w:rsidP="00EB41C7">
            <w:pPr>
              <w:jc w:val="center"/>
            </w:pPr>
            <w:r>
              <w:t>5 anni</w:t>
            </w:r>
          </w:p>
        </w:tc>
      </w:tr>
    </w:tbl>
    <w:p w:rsidR="00F94B1B" w:rsidRPr="00EB41C7" w:rsidRDefault="00F94B1B" w:rsidP="00315CF2"/>
    <w:p w:rsidR="00F94B1B" w:rsidRPr="00EB41C7" w:rsidRDefault="00EB41C7" w:rsidP="00315CF2">
      <w:r w:rsidRPr="00EB41C7">
        <w:t xml:space="preserve">Il criterio di ammortamento delle immobilizzazioni immateriali è stato applicato con sistematicità ed in ogni esercizio, in relazione alla residua possibilità di utilizzazione economica di ogni singolo bene o spesa. </w:t>
      </w:r>
    </w:p>
    <w:p w:rsidR="00F94B1B" w:rsidRPr="007A215B" w:rsidRDefault="007A215B" w:rsidP="00315CF2">
      <w:r w:rsidRPr="007A215B">
        <w:t xml:space="preserve">Ai sensi e per gli effetti dell'art. 10 della legge 19 marzo 1983, n. 72, e così come anche richiamato dalle successive leggi di rivalutazione monetaria, si precisa che per i beni immateriali tuttora esistenti in patrimonio non è stata mai eseguita alcuna rivalutazione monetaria. </w:t>
      </w:r>
    </w:p>
    <w:p w:rsidR="00F94B1B" w:rsidRPr="007A215B" w:rsidRDefault="007A215B" w:rsidP="00315CF2">
      <w:r w:rsidRPr="007A215B">
        <w:t xml:space="preserve">Si evidenzia che su tali oneri immobilizzati non è stato necessario operare svalutazioni ex art. 2426, comma 1, n. 3 del codice civile, applicabile in quanto compatibile come previsto dal decreto del Ministero del Lavoro e delle Politiche Sociali del 5 marzo 2020, in quanto non sono stati riscontrati indicatori di potenziali perdite durevoli di valore delle immobilizzazioni immateriali. </w:t>
      </w:r>
    </w:p>
    <w:p w:rsidR="00315CF2" w:rsidRPr="006E2457" w:rsidRDefault="006924C6" w:rsidP="00315CF2">
      <w:pPr>
        <w:pStyle w:val="Titolo6"/>
      </w:pPr>
      <w:r>
        <w:t>Costi di impianto e di ampliamento</w:t>
      </w:r>
    </w:p>
    <w:p w:rsidR="00F94B1B" w:rsidRPr="007A215B" w:rsidRDefault="00EB41C7" w:rsidP="00F94B1B">
      <w:r w:rsidRPr="00EB41C7">
        <w:t>I costi di impianto e di ampliamento sono stati iscritti nell'attivo di stato patrimoniale con il consenso dell'Organo di Controllo poiché aventi utilità pluriennale; tali costi sono stati ammortizzati entro un periodo non superiore a cinque anni.</w:t>
      </w:r>
      <w:r w:rsidRPr="007A215B">
        <w:t xml:space="preserve"> </w:t>
      </w:r>
    </w:p>
    <w:p w:rsidR="00315CF2" w:rsidRDefault="006924C6" w:rsidP="00315CF2">
      <w:pPr>
        <w:pStyle w:val="Titolo6"/>
      </w:pPr>
      <w:r>
        <w:t>Immobilizzazioni materiali</w:t>
      </w:r>
    </w:p>
    <w:p w:rsidR="00EB41C7" w:rsidRDefault="00EB41C7" w:rsidP="00EB41C7">
      <w:r w:rsidRPr="00EB41C7">
        <w:t>I cespiti appartenenti alla categoria delle immobilizzazioni materiali, rilevati alla data in cui avviene il trasferimento dei rischi e dei benefici connessi al bene acquisito, sono iscritti in bilancio al costo di acquisto, aumentato degli eventuali oneri accessori sostenuti fino al momento in cui i beni sono pronti all'uso e comunque nel limite del loro valore recuperabile.</w:t>
      </w:r>
      <w:r>
        <w:t xml:space="preserve"> </w:t>
      </w:r>
    </w:p>
    <w:p w:rsidR="00EB41C7" w:rsidRDefault="00EB41C7" w:rsidP="00EB41C7">
      <w:r w:rsidRPr="00EB41C7">
        <w:t>Tali beni risultano esposti nell'attivo di bilancio al netto dei fondi di ammortamento e di svalutazione.</w:t>
      </w:r>
      <w:r>
        <w:t xml:space="preserve"> </w:t>
      </w:r>
    </w:p>
    <w:p w:rsidR="00EB41C7" w:rsidRDefault="00EB41C7" w:rsidP="00EB41C7">
      <w:r w:rsidRPr="00EB41C7">
        <w:t>Per le immobilizzazioni acquisite nel corso dell'esercizio le suddette aliquote sono state ridotte alla metà in quanto la quota di ammortamento così ottenuta non si discosta significativamente dalla quota calcolata a partire dal momento in cui il cespite è disponibile e pronto all'uso.</w:t>
      </w:r>
      <w:r>
        <w:t xml:space="preserve"> </w:t>
      </w:r>
    </w:p>
    <w:p w:rsidR="00B87E35" w:rsidRPr="007A215B" w:rsidRDefault="007A215B" w:rsidP="00315CF2">
      <w:r w:rsidRPr="007A215B">
        <w:t xml:space="preserve">I criteri di ammortamento delle immobilizzazioni materiali non sono variati rispetto a quelli applicati nell’esercizio precedente. </w:t>
      </w:r>
    </w:p>
    <w:p w:rsidR="00B87E35" w:rsidRPr="007A215B" w:rsidRDefault="007A215B" w:rsidP="00315CF2">
      <w:r w:rsidRPr="007A215B">
        <w:t xml:space="preserve">Ai sensi e per gli effetti dell'art. 10 della legge 19 Marzo 1983, n.72, così come anche richiamato dalle successive leggi di rivalutazione monetaria, si precisa che per i beni materiali tuttora esistenti in patrimonio non è stata mai eseguita alcuna rivalutazione monetaria. </w:t>
      </w:r>
    </w:p>
    <w:p w:rsidR="00B87E35" w:rsidRPr="007A215B" w:rsidRDefault="007A215B" w:rsidP="00315CF2">
      <w:r w:rsidRPr="007A215B">
        <w:t xml:space="preserve">Si evidenzia che non è stato necessario operare svalutazioni ex art. 2426 comma 1, n. 3 del codice civile in quanto, come previsto dal principio contabile OIC 9, non sono stati riscontrati indicatori di potenziali perdite durevoli di valore delle immobilizzazioni materiali. </w:t>
      </w:r>
    </w:p>
    <w:p w:rsidR="00315CF2" w:rsidRPr="006E2457" w:rsidRDefault="006924C6" w:rsidP="00315CF2">
      <w:pPr>
        <w:pStyle w:val="Titolo6"/>
      </w:pPr>
      <w:r>
        <w:t>Terreni e fabbricati</w:t>
      </w:r>
    </w:p>
    <w:p w:rsidR="00B87E35" w:rsidRPr="00EB41C7" w:rsidRDefault="00EB41C7" w:rsidP="00B87E35">
      <w:r w:rsidRPr="00EB41C7">
        <w:t xml:space="preserve">In continuità con le valutazioni effettuate nei bilanci dei precedenti esercizi non si è provveduto a scorporare il valore del terreno sul quale insiste il fabbricato in quanto non è rilevante. </w:t>
      </w:r>
    </w:p>
    <w:p w:rsidR="00315CF2" w:rsidRPr="006E2457" w:rsidRDefault="006924C6" w:rsidP="003F3157">
      <w:pPr>
        <w:pStyle w:val="Titolo6"/>
      </w:pPr>
      <w:r>
        <w:t>Immobilizzazioni finanziarie</w:t>
      </w:r>
    </w:p>
    <w:p w:rsidR="004F7AEC" w:rsidRPr="006E2457" w:rsidRDefault="006924C6" w:rsidP="004F7AEC">
      <w:pPr>
        <w:pStyle w:val="Titolo6"/>
      </w:pPr>
      <w:r>
        <w:t>Altri titoli</w:t>
      </w:r>
    </w:p>
    <w:p w:rsidR="004F7AEC" w:rsidRPr="00EB41C7" w:rsidRDefault="00EB41C7" w:rsidP="00315CF2">
      <w:r w:rsidRPr="00EB41C7">
        <w:t xml:space="preserve">Gli altri titoli sono stati valutati al costo di acquisto o di sottoscrizione del titolo, costituito dal prezzo pagato comprensivo dai costi accessori, avvalendosi della facoltà concessa dall'art. 2435-bis del codice civile. </w:t>
      </w:r>
    </w:p>
    <w:p w:rsidR="00B87E35" w:rsidRPr="007A215B" w:rsidRDefault="007A215B" w:rsidP="00315CF2">
      <w:r w:rsidRPr="007A215B">
        <w:t xml:space="preserve">Si evidenzia che sui titoli non è stato necessario operare svalutazioni ex art. 2426, comma 1, n. 3 del codice civile in quanto, come previsto dal principio contabile OIC 9, non sono stati riscontrati indicatori di potenziali perdite di valore. </w:t>
      </w:r>
    </w:p>
    <w:p w:rsidR="004F7AEC" w:rsidRPr="006E2457" w:rsidRDefault="006924C6" w:rsidP="004F7AEC">
      <w:pPr>
        <w:pStyle w:val="Titolo6"/>
      </w:pPr>
      <w:r>
        <w:t>Crediti iscritti nell'attivo circolante</w:t>
      </w:r>
    </w:p>
    <w:p w:rsidR="00EB41C7" w:rsidRPr="00EB41C7" w:rsidRDefault="00EB41C7" w:rsidP="00E90A00">
      <w:r w:rsidRPr="00EB41C7">
        <w:t xml:space="preserve">I crediti iscritti nell'attivo circolante sono stati rilevati in bilancio secondo il criterio del costo ammortizzato, come definito dall'art. 2426 comma 2, del codice civile, tenendo conto del fattore temporale e del valore di presumibile realizzo, conformemente a quanto previsto dall'art. 2426, comma 1, n. 8 del codice civile. </w:t>
      </w:r>
    </w:p>
    <w:p w:rsidR="001A7D6D" w:rsidRPr="00EB41C7" w:rsidRDefault="00EB41C7" w:rsidP="001A7D6D">
      <w:r w:rsidRPr="00EB41C7">
        <w:t xml:space="preserve">Per i crediti per i quali sia stata verificata l'irrilevanza dell'applicazione del metodo del costo ammortizzato e/o dell'attualizzazione, ai fini dell'esigenza di dare una rappresentazione veritiera e corretta della situazione patrimoniale e gestionale dell'ente, è stata mantenuta l'iscrizione secondo il presumibile valore di realizzo. Tale evenienza si è verificata ad esempio in presenza di crediti con scadenza inferiore ai dodici mesi o, in riferimento al criterio del costo ammortizzato, nel caso in cui i costi di transazione, le commissioni e ogni altra differenza tra valore iniziale e valore a scadenza sono di scarso rilievo o, ancora, nel caso di attualizzazione, in presenza di un tasso di interesse desumibile dalle condizioni contrattuali non significativamente diverso dal tasso di interesse di mercato. </w:t>
      </w:r>
    </w:p>
    <w:p w:rsidR="004F7AEC" w:rsidRPr="006E2457" w:rsidRDefault="006924C6" w:rsidP="004F7AEC">
      <w:pPr>
        <w:pStyle w:val="Titolo6"/>
      </w:pPr>
      <w:r>
        <w:t>Attività finanziarie che non costituiscono immobilizzazioni</w:t>
      </w:r>
    </w:p>
    <w:p w:rsidR="004F7AEC" w:rsidRPr="006E2457" w:rsidRDefault="006924C6" w:rsidP="004F7AEC">
      <w:pPr>
        <w:pStyle w:val="Titolo6"/>
      </w:pPr>
      <w:r>
        <w:t>Altri titoli</w:t>
      </w:r>
    </w:p>
    <w:p w:rsidR="001A7D6D" w:rsidRPr="00EB41C7" w:rsidRDefault="00EB41C7" w:rsidP="001A7D6D">
      <w:r w:rsidRPr="00EB41C7">
        <w:t xml:space="preserve">I titoli non immobilizzati sono stati valutati in base al minor valore tre il costo di rilevazione iniziale e il valore di realizzo desumibile dall'andamento di mercato. Per la valutazione del costo di rilevazione iniziale è stato adottato il metodo del costo specifico, che presuppone l'individuazione e l'attribuzione ai singoli titoli dei costi specificamente sostenuti per l'acquisto dei medesimi. </w:t>
      </w:r>
    </w:p>
    <w:p w:rsidR="004F7AEC" w:rsidRPr="006E2457" w:rsidRDefault="006924C6" w:rsidP="004F7AEC">
      <w:pPr>
        <w:pStyle w:val="Titolo6"/>
      </w:pPr>
      <w:r>
        <w:t>Disponibilità liquide</w:t>
      </w:r>
    </w:p>
    <w:p w:rsidR="007A215B" w:rsidRPr="007A215B" w:rsidRDefault="007A215B">
      <w:r w:rsidRPr="007A215B">
        <w:t>Le disponibilità liquide sono valutate con i seguenti criteri:</w:t>
      </w:r>
    </w:p>
    <w:p w:rsidR="007A215B" w:rsidRPr="007A215B" w:rsidRDefault="007A215B" w:rsidP="007A215B">
      <w:pPr>
        <w:numPr>
          <w:ilvl w:val="0"/>
          <w:numId w:val="39"/>
        </w:numPr>
        <w:jc w:val="left"/>
      </w:pPr>
      <w:r w:rsidRPr="007A215B">
        <w:t>denaro, al valore nominale;</w:t>
      </w:r>
    </w:p>
    <w:p w:rsidR="001A7D6D" w:rsidRPr="007A215B" w:rsidRDefault="007A215B" w:rsidP="00EB41C7">
      <w:pPr>
        <w:numPr>
          <w:ilvl w:val="0"/>
          <w:numId w:val="39"/>
        </w:numPr>
      </w:pPr>
      <w:r w:rsidRPr="007A215B">
        <w:t xml:space="preserve">depositi bancari e assegni in cassa, al presumibile valore di realizzo. Nel caso specifico, il valore di realizzo coincide con il valore nominale. </w:t>
      </w:r>
    </w:p>
    <w:p w:rsidR="004F7AEC" w:rsidRPr="006E2457" w:rsidRDefault="006924C6" w:rsidP="004F7AEC">
      <w:pPr>
        <w:pStyle w:val="Titolo6"/>
      </w:pPr>
      <w:r>
        <w:t>Ratei e risconti attivi</w:t>
      </w:r>
    </w:p>
    <w:p w:rsidR="001A7D6D" w:rsidRPr="00EB41C7" w:rsidRDefault="00EB41C7" w:rsidP="00315CF2">
      <w:r w:rsidRPr="00EB41C7">
        <w:t xml:space="preserve">I ratei e risconti sono stati calcolati sulla base del principio della competenza, mediante la ripartizione dei proventi e ricavi e/o costi e oneri comuni a più esercizi. </w:t>
      </w:r>
    </w:p>
    <w:p w:rsidR="004F7AEC" w:rsidRPr="006E2457" w:rsidRDefault="006924C6" w:rsidP="004F7AEC">
      <w:pPr>
        <w:pStyle w:val="Titolo6"/>
      </w:pPr>
      <w:r>
        <w:t>Patrimonio netto</w:t>
      </w:r>
    </w:p>
    <w:p w:rsidR="001A7D6D" w:rsidRPr="007A215B" w:rsidRDefault="007A215B" w:rsidP="001A7D6D">
      <w:r w:rsidRPr="007A215B">
        <w:t xml:space="preserve">Le voci sono esposte in bilancio al loro valore contabile secondo le indicazioni contenute nel principio contabile OIC 35 e nel principio contabile OIC 28. </w:t>
      </w:r>
    </w:p>
    <w:p w:rsidR="004F7AEC" w:rsidRPr="006E2457" w:rsidRDefault="006924C6" w:rsidP="004F7AEC">
      <w:pPr>
        <w:pStyle w:val="Titolo6"/>
      </w:pPr>
      <w:r>
        <w:t>Trattamento di fine rapporto di lavoro subordinato</w:t>
      </w:r>
    </w:p>
    <w:p w:rsidR="007A215B" w:rsidRPr="007A215B" w:rsidRDefault="007A215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7A215B">
        <w:t>Il TFR è stato calcolato conformemente a quanto previsto dall'art. 2120 del codice civile, tenuto conto delle disposizioni legislative e delle specificità dei contratti e delle categorie professionali, e comprende le quote annue maturate e le rivalutazioni effettuate sulla base dei coefficienti ISTAT.</w:t>
      </w:r>
    </w:p>
    <w:p w:rsidR="001A7D6D" w:rsidRPr="007A215B" w:rsidRDefault="007A215B" w:rsidP="007A215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7A215B">
        <w:t xml:space="preserve">L'ammontare del fondo è rilevato al netto degli acconti erogati e delle quote utilizzate per le cessazioni del rapporto di lavoro intervenute nel corso dell'esercizio e rappresenta il debito certo nei confronti dei lavoratori dipendenti alla data di chiusura del bilancio. </w:t>
      </w:r>
    </w:p>
    <w:p w:rsidR="004F7AEC" w:rsidRPr="006E2457" w:rsidRDefault="006924C6" w:rsidP="004F7AEC">
      <w:pPr>
        <w:pStyle w:val="Titolo6"/>
      </w:pPr>
      <w:r>
        <w:t>Debiti</w:t>
      </w:r>
    </w:p>
    <w:p w:rsidR="00EB41C7" w:rsidRPr="00EB41C7" w:rsidRDefault="00EB41C7" w:rsidP="000610CA">
      <w:r w:rsidRPr="00EB41C7">
        <w:t xml:space="preserve">I debiti sono stati rilevati in bilancio secondo il criterio del costo ammortizzato, come definito dall'art. 2426 comma 2, del codice civile, tenendo conto del fattore temporale, conformemente a quanto previsto dall'art. 2426, comma 1, n. 8 del codice civile. </w:t>
      </w:r>
    </w:p>
    <w:p w:rsidR="001A7D6D" w:rsidRPr="00EB41C7" w:rsidRDefault="00EB41C7" w:rsidP="001A7D6D">
      <w:r w:rsidRPr="00EB41C7">
        <w:t xml:space="preserve">Per i debiti per i quali sia stata verificata l'irrilevanza dell'applicazione del metodo del costo ammortizzato e/o dell'attualizzazione, ai fini dell'esigenza di dare una rappresentazione veritiera e corretta della situazione patrimoniale e gestionale dell'ente, è stata mantenuta l'iscrizione secondo il valore nominale. Tale evenienza si è verificata ad esempio in presenza di debiti con scadenza inferiore ai dodici mesi o, in riferimento al criterio del costo ammortizzato, nel caso in cui i costi di transazione, le commissioni e ogni altra differenza tra valore iniziale e valore a scadenza sono di scarso rilievo o, ancora, nel caso di attualizzazione, in presenza di un tasso di interesse desumibile dalle condizioni contrattuali non significativamente diverso dal tasso di interesse di mercato. </w:t>
      </w:r>
    </w:p>
    <w:p w:rsidR="004F7AEC" w:rsidRPr="006E2457" w:rsidRDefault="006924C6" w:rsidP="004F7AEC">
      <w:pPr>
        <w:pStyle w:val="Titolo6"/>
      </w:pPr>
      <w:r>
        <w:t>Ratei e risconti passivi</w:t>
      </w:r>
    </w:p>
    <w:p w:rsidR="00F94B1B" w:rsidRPr="00EB41C7" w:rsidRDefault="00EB41C7" w:rsidP="00F94B1B">
      <w:r w:rsidRPr="00EB41C7">
        <w:t xml:space="preserve">I ratei e risconti sono stati calcolati sulla base del principio della competenza, mediante la ripartizione dei costi e oneri e/o proventi e ricavi comuni a più esercizi. </w:t>
      </w:r>
    </w:p>
    <w:p w:rsidR="00F94B1B" w:rsidRDefault="00F94B1B" w:rsidP="00F94B1B"/>
    <w:p w:rsidR="00315CF2" w:rsidRPr="006E2457" w:rsidRDefault="006924C6" w:rsidP="00315CF2">
      <w:pPr>
        <w:pStyle w:val="Titolo3"/>
      </w:pPr>
      <w:r>
        <w:t>Stato patrimoniale</w:t>
      </w:r>
    </w:p>
    <w:p w:rsidR="00315CF2" w:rsidRPr="006E2457" w:rsidRDefault="006924C6" w:rsidP="00315CF2">
      <w:pPr>
        <w:pStyle w:val="Titolo4"/>
      </w:pPr>
      <w:r>
        <w:t>Introduzione</w:t>
      </w:r>
    </w:p>
    <w:p w:rsidR="00315CF2" w:rsidRPr="007A215B" w:rsidRDefault="007A215B" w:rsidP="00315CF2">
      <w:r w:rsidRPr="007A215B">
        <w:t xml:space="preserve">Di seguito si analizzano nel dettaglio i movimenti delle singole voci di bilancio, ove previsto dalla normativa vigente. </w:t>
      </w:r>
    </w:p>
    <w:p w:rsidR="00315CF2" w:rsidRPr="006E2457" w:rsidRDefault="006924C6" w:rsidP="00315CF2">
      <w:pPr>
        <w:pStyle w:val="Titolo4"/>
      </w:pPr>
      <w:r>
        <w:t>Attivo</w:t>
      </w:r>
    </w:p>
    <w:p w:rsidR="00315CF2" w:rsidRPr="006E2457" w:rsidRDefault="006924C6" w:rsidP="00A74174">
      <w:pPr>
        <w:pStyle w:val="Titolo5"/>
      </w:pPr>
      <w:r>
        <w:t>B) Immobilizzazioni</w:t>
      </w:r>
    </w:p>
    <w:p w:rsidR="00315CF2" w:rsidRPr="006E2457" w:rsidRDefault="006924C6" w:rsidP="00315CF2">
      <w:pPr>
        <w:pStyle w:val="Titolo6"/>
      </w:pPr>
      <w:r>
        <w:t>I - Immobilizzazioni immateriali</w:t>
      </w:r>
    </w:p>
    <w:p w:rsidR="00315CF2" w:rsidRPr="006E2457" w:rsidRDefault="006924C6" w:rsidP="00315CF2">
      <w:pPr>
        <w:pStyle w:val="Titolo7"/>
      </w:pPr>
      <w:r>
        <w:t>Movimenti delle immobilizzazioni immateriali</w:t>
      </w:r>
    </w:p>
    <w:p w:rsidR="00315CF2" w:rsidRPr="006E2457" w:rsidRDefault="006924C6" w:rsidP="00315CF2">
      <w:pPr>
        <w:pStyle w:val="Titolo8"/>
      </w:pPr>
      <w:r>
        <w:t>Introduzione</w:t>
      </w:r>
    </w:p>
    <w:p w:rsidR="00A5748D" w:rsidRPr="00A5748D" w:rsidRDefault="00A5748D" w:rsidP="004F6F0F">
      <w:r w:rsidRPr="00A5748D">
        <w:t xml:space="preserve">Dopo l'iscrizione nel rendiconto gestionale delle quote di ammortamento dell'esercizio, pari ad </w:t>
      </w:r>
      <w:r>
        <w:t>Euro</w:t>
      </w:r>
      <w:r w:rsidRPr="00A5748D">
        <w:t xml:space="preserve"> </w:t>
      </w:r>
      <w:r>
        <w:t>2.028</w:t>
      </w:r>
      <w:r w:rsidR="00A435B7">
        <w:t>,</w:t>
      </w:r>
      <w:r w:rsidRPr="00A5748D">
        <w:t xml:space="preserve"> le immobilizzazioni immateriali ammontano ad </w:t>
      </w:r>
      <w:r>
        <w:t>Euro 8.109.</w:t>
      </w:r>
    </w:p>
    <w:p w:rsidR="00315CF2" w:rsidRDefault="00A5748D" w:rsidP="00315CF2">
      <w:r w:rsidRPr="00A5748D">
        <w:t xml:space="preserve">Nella tabella sono esposte le movimentazioni delle immobilizzazioni in oggetto. </w:t>
      </w:r>
      <w:r w:rsidR="001A7D6D" w:rsidRPr="001A7D6D">
        <w:t xml:space="preserve"> </w:t>
      </w:r>
    </w:p>
    <w:p w:rsidR="00315CF2" w:rsidRPr="006E2457" w:rsidRDefault="006924C6" w:rsidP="00315CF2">
      <w:pPr>
        <w:pStyle w:val="Titolo8"/>
      </w:pPr>
      <w:r>
        <w:t>Analisi dei movimenti delle immobilizzazioni immateriali</w:t>
      </w:r>
    </w:p>
    <w:tbl>
      <w:tblPr>
        <w:tblW w:w="0" w:type="auto"/>
        <w:tblBorders>
          <w:top w:val="single" w:sz="12" w:space="0" w:color="000000"/>
          <w:left w:val="nil"/>
          <w:bottom w:val="single" w:sz="12" w:space="0" w:color="000000"/>
          <w:right w:val="nil"/>
          <w:insideH w:val="nil"/>
          <w:insideV w:val="nil"/>
        </w:tblBorders>
        <w:shd w:val="clear" w:color="auto" w:fill="FFFFFF"/>
        <w:tblLayout w:type="fixed"/>
        <w:tblCellMar>
          <w:top w:w="40" w:type="dxa"/>
          <w:left w:w="40" w:type="dxa"/>
          <w:bottom w:w="40" w:type="dxa"/>
          <w:right w:w="40" w:type="dxa"/>
        </w:tblCellMar>
        <w:tblLook w:val="00A0" w:firstRow="1" w:lastRow="0" w:firstColumn="1" w:lastColumn="0" w:noHBand="0" w:noVBand="0"/>
      </w:tblPr>
      <w:tblGrid>
        <w:gridCol w:w="2502"/>
        <w:gridCol w:w="2503"/>
        <w:gridCol w:w="2503"/>
        <w:gridCol w:w="2503"/>
      </w:tblGrid>
      <w:tr w:rsidR="00A5748D" w:rsidRPr="00DC764C" w:rsidTr="00A5748D">
        <w:trPr>
          <w:tblHeader/>
        </w:trPr>
        <w:tc>
          <w:tcPr>
            <w:tcW w:w="2502" w:type="dxa"/>
            <w:tcBorders>
              <w:top w:val="single" w:sz="12" w:space="0" w:color="000000"/>
              <w:bottom w:val="single" w:sz="12" w:space="0" w:color="000000"/>
            </w:tcBorders>
            <w:shd w:val="clear" w:color="auto" w:fill="C6D9F1"/>
            <w:vAlign w:val="center"/>
          </w:tcPr>
          <w:p w:rsidR="00A5748D" w:rsidRPr="00DC764C" w:rsidRDefault="00A5748D" w:rsidP="00A5748D">
            <w:pPr>
              <w:pStyle w:val="Tabella"/>
              <w:jc w:val="center"/>
              <w:rPr>
                <w:b/>
              </w:rPr>
            </w:pPr>
          </w:p>
        </w:tc>
        <w:tc>
          <w:tcPr>
            <w:tcW w:w="2503" w:type="dxa"/>
            <w:tcBorders>
              <w:top w:val="single" w:sz="12" w:space="0" w:color="000000"/>
              <w:bottom w:val="single" w:sz="12" w:space="0" w:color="000000"/>
            </w:tcBorders>
            <w:shd w:val="clear" w:color="auto" w:fill="C6D9F1"/>
            <w:vAlign w:val="center"/>
          </w:tcPr>
          <w:p w:rsidR="00A5748D" w:rsidRPr="00DC764C" w:rsidRDefault="00A5748D" w:rsidP="00A5748D">
            <w:pPr>
              <w:pStyle w:val="Tabella"/>
              <w:jc w:val="center"/>
              <w:rPr>
                <w:b/>
              </w:rPr>
            </w:pPr>
            <w:r w:rsidRPr="00DC764C">
              <w:rPr>
                <w:b/>
              </w:rPr>
              <w:t>Costi di impianto e ampliamento</w:t>
            </w:r>
          </w:p>
        </w:tc>
        <w:tc>
          <w:tcPr>
            <w:tcW w:w="2503" w:type="dxa"/>
            <w:tcBorders>
              <w:top w:val="single" w:sz="12" w:space="0" w:color="000000"/>
              <w:bottom w:val="single" w:sz="12" w:space="0" w:color="000000"/>
            </w:tcBorders>
            <w:shd w:val="clear" w:color="auto" w:fill="C6D9F1"/>
            <w:vAlign w:val="center"/>
          </w:tcPr>
          <w:p w:rsidR="00A5748D" w:rsidRPr="00DC764C" w:rsidRDefault="00A5748D" w:rsidP="00A5748D">
            <w:pPr>
              <w:pStyle w:val="Tabella"/>
              <w:jc w:val="center"/>
              <w:rPr>
                <w:b/>
              </w:rPr>
            </w:pPr>
            <w:r w:rsidRPr="00DC764C">
              <w:rPr>
                <w:b/>
              </w:rPr>
              <w:t>Altre immobilizzazioni immateriali</w:t>
            </w:r>
          </w:p>
        </w:tc>
        <w:tc>
          <w:tcPr>
            <w:tcW w:w="2503" w:type="dxa"/>
            <w:tcBorders>
              <w:top w:val="single" w:sz="12" w:space="0" w:color="000000"/>
              <w:bottom w:val="single" w:sz="12" w:space="0" w:color="000000"/>
            </w:tcBorders>
            <w:shd w:val="clear" w:color="auto" w:fill="C6D9F1"/>
            <w:vAlign w:val="center"/>
          </w:tcPr>
          <w:p w:rsidR="00A5748D" w:rsidRPr="00DC764C" w:rsidRDefault="00A5748D" w:rsidP="00A5748D">
            <w:pPr>
              <w:pStyle w:val="Tabella"/>
              <w:jc w:val="center"/>
              <w:rPr>
                <w:b/>
              </w:rPr>
            </w:pPr>
            <w:r w:rsidRPr="00DC764C">
              <w:rPr>
                <w:b/>
              </w:rPr>
              <w:t>Totale immobilizzazioni immateriali</w:t>
            </w:r>
          </w:p>
        </w:tc>
      </w:tr>
      <w:tr w:rsidR="00A5748D" w:rsidRPr="00DC764C" w:rsidTr="00A5748D">
        <w:tc>
          <w:tcPr>
            <w:tcW w:w="2502" w:type="dxa"/>
            <w:tcBorders>
              <w:top w:val="single" w:sz="12" w:space="0" w:color="000000"/>
              <w:bottom w:val="single" w:sz="6" w:space="0" w:color="000000"/>
            </w:tcBorders>
            <w:shd w:val="clear" w:color="auto" w:fill="DBE5F1"/>
            <w:vAlign w:val="center"/>
          </w:tcPr>
          <w:p w:rsidR="00A5748D" w:rsidRPr="00DC764C" w:rsidRDefault="00A5748D" w:rsidP="00A5748D">
            <w:pPr>
              <w:pStyle w:val="Tabella"/>
              <w:rPr>
                <w:b/>
                <w:color w:val="auto"/>
              </w:rPr>
            </w:pPr>
            <w:r w:rsidRPr="00DC764C">
              <w:rPr>
                <w:b/>
                <w:color w:val="auto"/>
              </w:rPr>
              <w:t>Valore di inizio esercizio</w:t>
            </w:r>
          </w:p>
        </w:tc>
        <w:tc>
          <w:tcPr>
            <w:tcW w:w="2503" w:type="dxa"/>
            <w:tcBorders>
              <w:top w:val="single" w:sz="12"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2503" w:type="dxa"/>
            <w:tcBorders>
              <w:top w:val="single" w:sz="12"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2503" w:type="dxa"/>
            <w:tcBorders>
              <w:top w:val="single" w:sz="12"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r>
      <w:tr w:rsidR="00A5748D" w:rsidRPr="00DC764C" w:rsidTr="00A5748D">
        <w:tc>
          <w:tcPr>
            <w:tcW w:w="2502"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Costo</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5.666</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5.666</w:t>
            </w:r>
          </w:p>
        </w:tc>
      </w:tr>
      <w:tr w:rsidR="00A5748D" w:rsidRPr="00DC764C" w:rsidTr="00A5748D">
        <w:tc>
          <w:tcPr>
            <w:tcW w:w="2502"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Ammortamenti (Fondo ammortamento)</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5.666</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5.666</w:t>
            </w:r>
          </w:p>
        </w:tc>
      </w:tr>
      <w:tr w:rsidR="00A5748D" w:rsidRPr="00DC764C" w:rsidTr="00A5748D">
        <w:tc>
          <w:tcPr>
            <w:tcW w:w="2502"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Valore di bilancio</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w:t>
            </w:r>
          </w:p>
        </w:tc>
      </w:tr>
      <w:tr w:rsidR="00A5748D" w:rsidRPr="00DC764C" w:rsidTr="00A5748D">
        <w:tc>
          <w:tcPr>
            <w:tcW w:w="2502" w:type="dxa"/>
            <w:tcBorders>
              <w:top w:val="single" w:sz="6" w:space="0" w:color="000000"/>
              <w:bottom w:val="single" w:sz="6" w:space="0" w:color="000000"/>
            </w:tcBorders>
            <w:shd w:val="clear" w:color="auto" w:fill="DBE5F1"/>
            <w:vAlign w:val="center"/>
          </w:tcPr>
          <w:p w:rsidR="00A5748D" w:rsidRPr="00DC764C" w:rsidRDefault="00A5748D" w:rsidP="00A5748D">
            <w:pPr>
              <w:pStyle w:val="Tabella"/>
              <w:rPr>
                <w:b/>
                <w:color w:val="auto"/>
              </w:rPr>
            </w:pPr>
            <w:r w:rsidRPr="00DC764C">
              <w:rPr>
                <w:b/>
                <w:color w:val="auto"/>
              </w:rPr>
              <w:t>Variazioni nell'esercizio</w:t>
            </w:r>
          </w:p>
        </w:tc>
        <w:tc>
          <w:tcPr>
            <w:tcW w:w="2503" w:type="dxa"/>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2503" w:type="dxa"/>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2503" w:type="dxa"/>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r>
      <w:tr w:rsidR="00A5748D" w:rsidRPr="00DC764C" w:rsidTr="00A5748D">
        <w:tc>
          <w:tcPr>
            <w:tcW w:w="2502"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Incrementi per acquisizioni</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10.136</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10.136</w:t>
            </w:r>
          </w:p>
        </w:tc>
      </w:tr>
      <w:tr w:rsidR="00A5748D" w:rsidRPr="00DC764C" w:rsidTr="00A5748D">
        <w:tc>
          <w:tcPr>
            <w:tcW w:w="2502"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Ammortamento dell'esercizio</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2.028</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2.028</w:t>
            </w:r>
          </w:p>
        </w:tc>
      </w:tr>
      <w:tr w:rsidR="00A5748D" w:rsidRPr="00DC764C" w:rsidTr="00A5748D">
        <w:tc>
          <w:tcPr>
            <w:tcW w:w="2502" w:type="dxa"/>
            <w:tcBorders>
              <w:top w:val="single" w:sz="6" w:space="0" w:color="000000"/>
              <w:bottom w:val="single" w:sz="6" w:space="0" w:color="000000"/>
            </w:tcBorders>
            <w:shd w:val="clear" w:color="auto" w:fill="F1F1F1"/>
            <w:vAlign w:val="center"/>
          </w:tcPr>
          <w:p w:rsidR="00A5748D" w:rsidRPr="00DC764C" w:rsidRDefault="00A5748D" w:rsidP="00A5748D">
            <w:pPr>
              <w:pStyle w:val="Tabella"/>
              <w:rPr>
                <w:i/>
                <w:color w:val="auto"/>
              </w:rPr>
            </w:pPr>
            <w:r w:rsidRPr="00DC764C">
              <w:rPr>
                <w:i/>
                <w:color w:val="auto"/>
              </w:rPr>
              <w:t>Totale variazioni</w:t>
            </w:r>
          </w:p>
        </w:tc>
        <w:tc>
          <w:tcPr>
            <w:tcW w:w="2503" w:type="dxa"/>
            <w:tcBorders>
              <w:top w:val="single" w:sz="6" w:space="0" w:color="000000"/>
              <w:bottom w:val="single" w:sz="6" w:space="0" w:color="000000"/>
            </w:tcBorders>
            <w:shd w:val="clear" w:color="auto" w:fill="F1F1F1"/>
            <w:vAlign w:val="center"/>
          </w:tcPr>
          <w:p w:rsidR="00A5748D" w:rsidRPr="00DC764C" w:rsidRDefault="00A5748D" w:rsidP="00A5748D">
            <w:pPr>
              <w:pStyle w:val="Tabella"/>
              <w:jc w:val="right"/>
              <w:rPr>
                <w:i/>
                <w:color w:val="auto"/>
              </w:rPr>
            </w:pPr>
            <w:r w:rsidRPr="00DC764C">
              <w:rPr>
                <w:i/>
                <w:color w:val="auto"/>
              </w:rPr>
              <w:t>8.108</w:t>
            </w:r>
          </w:p>
        </w:tc>
        <w:tc>
          <w:tcPr>
            <w:tcW w:w="2503" w:type="dxa"/>
            <w:tcBorders>
              <w:top w:val="single" w:sz="6" w:space="0" w:color="000000"/>
              <w:bottom w:val="single" w:sz="6" w:space="0" w:color="000000"/>
            </w:tcBorders>
            <w:shd w:val="clear" w:color="auto" w:fill="F1F1F1"/>
            <w:vAlign w:val="center"/>
          </w:tcPr>
          <w:p w:rsidR="00A5748D" w:rsidRPr="00DC764C" w:rsidRDefault="00A5748D" w:rsidP="00A5748D">
            <w:pPr>
              <w:pStyle w:val="Tabella"/>
              <w:jc w:val="right"/>
              <w:rPr>
                <w:i/>
                <w:color w:val="auto"/>
              </w:rPr>
            </w:pPr>
            <w:r w:rsidRPr="00DC764C">
              <w:rPr>
                <w:i/>
                <w:color w:val="auto"/>
              </w:rPr>
              <w:t>-</w:t>
            </w:r>
          </w:p>
        </w:tc>
        <w:tc>
          <w:tcPr>
            <w:tcW w:w="2503" w:type="dxa"/>
            <w:tcBorders>
              <w:top w:val="single" w:sz="6" w:space="0" w:color="000000"/>
              <w:bottom w:val="single" w:sz="6" w:space="0" w:color="000000"/>
            </w:tcBorders>
            <w:shd w:val="clear" w:color="auto" w:fill="F1F1F1"/>
            <w:vAlign w:val="center"/>
          </w:tcPr>
          <w:p w:rsidR="00A5748D" w:rsidRPr="00DC764C" w:rsidRDefault="00A5748D" w:rsidP="00A5748D">
            <w:pPr>
              <w:pStyle w:val="Tabella"/>
              <w:jc w:val="right"/>
              <w:rPr>
                <w:i/>
                <w:color w:val="auto"/>
              </w:rPr>
            </w:pPr>
            <w:r w:rsidRPr="00DC764C">
              <w:rPr>
                <w:i/>
                <w:color w:val="auto"/>
              </w:rPr>
              <w:t>8.108</w:t>
            </w:r>
          </w:p>
        </w:tc>
      </w:tr>
      <w:tr w:rsidR="00A5748D" w:rsidRPr="00DC764C" w:rsidTr="00A5748D">
        <w:tc>
          <w:tcPr>
            <w:tcW w:w="2502" w:type="dxa"/>
            <w:tcBorders>
              <w:top w:val="single" w:sz="6" w:space="0" w:color="000000"/>
              <w:bottom w:val="single" w:sz="6" w:space="0" w:color="000000"/>
            </w:tcBorders>
            <w:shd w:val="clear" w:color="auto" w:fill="DBE5F1"/>
            <w:vAlign w:val="center"/>
          </w:tcPr>
          <w:p w:rsidR="00A5748D" w:rsidRPr="00DC764C" w:rsidRDefault="00A5748D" w:rsidP="00A5748D">
            <w:pPr>
              <w:pStyle w:val="Tabella"/>
              <w:rPr>
                <w:b/>
                <w:color w:val="auto"/>
              </w:rPr>
            </w:pPr>
            <w:r w:rsidRPr="00DC764C">
              <w:rPr>
                <w:b/>
                <w:color w:val="auto"/>
              </w:rPr>
              <w:t>Valore di fine esercizio</w:t>
            </w:r>
          </w:p>
        </w:tc>
        <w:tc>
          <w:tcPr>
            <w:tcW w:w="2503" w:type="dxa"/>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2503" w:type="dxa"/>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2503" w:type="dxa"/>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r>
      <w:tr w:rsidR="00A5748D" w:rsidRPr="00DC764C" w:rsidTr="00A5748D">
        <w:tc>
          <w:tcPr>
            <w:tcW w:w="2502"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Costo</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10.136</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5.666</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15.802</w:t>
            </w:r>
          </w:p>
        </w:tc>
      </w:tr>
      <w:tr w:rsidR="00A5748D" w:rsidRPr="00DC764C" w:rsidTr="00A5748D">
        <w:tc>
          <w:tcPr>
            <w:tcW w:w="2502"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Ammortamenti (Fondo ammortamento)</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2.028</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5.666</w:t>
            </w:r>
          </w:p>
        </w:tc>
        <w:tc>
          <w:tcPr>
            <w:tcW w:w="2503" w:type="dxa"/>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7.694</w:t>
            </w:r>
          </w:p>
        </w:tc>
      </w:tr>
      <w:tr w:rsidR="00A5748D" w:rsidRPr="00DC764C" w:rsidTr="00A5748D">
        <w:tc>
          <w:tcPr>
            <w:tcW w:w="2502" w:type="dxa"/>
            <w:tcBorders>
              <w:top w:val="single" w:sz="6" w:space="0" w:color="000000"/>
              <w:bottom w:val="single" w:sz="12" w:space="0" w:color="000000"/>
            </w:tcBorders>
            <w:shd w:val="clear" w:color="auto" w:fill="FFFFFF"/>
            <w:vAlign w:val="center"/>
          </w:tcPr>
          <w:p w:rsidR="00A5748D" w:rsidRPr="00DC764C" w:rsidRDefault="00A5748D" w:rsidP="00A5748D">
            <w:pPr>
              <w:pStyle w:val="Tabella"/>
              <w:rPr>
                <w:color w:val="auto"/>
              </w:rPr>
            </w:pPr>
            <w:r w:rsidRPr="00DC764C">
              <w:rPr>
                <w:color w:val="auto"/>
              </w:rPr>
              <w:t>Valore di bilancio</w:t>
            </w:r>
          </w:p>
        </w:tc>
        <w:tc>
          <w:tcPr>
            <w:tcW w:w="2503" w:type="dxa"/>
            <w:tcBorders>
              <w:top w:val="single" w:sz="6" w:space="0" w:color="000000"/>
              <w:bottom w:val="single" w:sz="12"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8.108</w:t>
            </w:r>
          </w:p>
        </w:tc>
        <w:tc>
          <w:tcPr>
            <w:tcW w:w="2503" w:type="dxa"/>
            <w:tcBorders>
              <w:top w:val="single" w:sz="6" w:space="0" w:color="000000"/>
              <w:bottom w:val="single" w:sz="12"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w:t>
            </w:r>
          </w:p>
        </w:tc>
        <w:tc>
          <w:tcPr>
            <w:tcW w:w="2503" w:type="dxa"/>
            <w:tcBorders>
              <w:top w:val="single" w:sz="6" w:space="0" w:color="000000"/>
              <w:bottom w:val="single" w:sz="12"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8.108</w:t>
            </w:r>
          </w:p>
        </w:tc>
      </w:tr>
    </w:tbl>
    <w:p w:rsidR="00315CF2" w:rsidRPr="007A215B" w:rsidRDefault="00315CF2" w:rsidP="00315CF2"/>
    <w:p w:rsidR="00315CF2" w:rsidRPr="006E2457" w:rsidRDefault="006924C6" w:rsidP="00315CF2">
      <w:pPr>
        <w:pStyle w:val="Titolo6"/>
      </w:pPr>
      <w:r>
        <w:t>II - Immobilizzazioni materiali</w:t>
      </w:r>
    </w:p>
    <w:p w:rsidR="00315CF2" w:rsidRPr="006E2457" w:rsidRDefault="006924C6" w:rsidP="00315CF2">
      <w:pPr>
        <w:pStyle w:val="Titolo7"/>
      </w:pPr>
      <w:r>
        <w:t>Movimenti delle immobilizzazioni materiali</w:t>
      </w:r>
    </w:p>
    <w:p w:rsidR="00315CF2" w:rsidRPr="006E2457" w:rsidRDefault="006924C6" w:rsidP="00315CF2">
      <w:pPr>
        <w:pStyle w:val="Titolo8"/>
      </w:pPr>
      <w:r>
        <w:t>Introduzione</w:t>
      </w:r>
    </w:p>
    <w:p w:rsidR="00A5748D" w:rsidRPr="00A5748D" w:rsidRDefault="00A5748D" w:rsidP="00A5748D">
      <w:r w:rsidRPr="00A5748D">
        <w:t xml:space="preserve">Dopo l'iscrizione nel rendiconto gestionale delle quote di ammortamento dell'esercizio, pari ad </w:t>
      </w:r>
      <w:r>
        <w:t>Euro</w:t>
      </w:r>
      <w:r w:rsidRPr="00A5748D">
        <w:t xml:space="preserve"> </w:t>
      </w:r>
      <w:r>
        <w:t>35.441</w:t>
      </w:r>
      <w:r w:rsidR="00A435B7">
        <w:t>,</w:t>
      </w:r>
      <w:r w:rsidRPr="00A5748D">
        <w:t xml:space="preserve"> le immobilizzazioni materiali ammontano ad </w:t>
      </w:r>
      <w:r>
        <w:t>Euro 396.894.</w:t>
      </w:r>
    </w:p>
    <w:p w:rsidR="004632BA" w:rsidRDefault="00A5748D" w:rsidP="00315CF2">
      <w:r w:rsidRPr="00A5748D">
        <w:t xml:space="preserve">Nella tabella che segue sono esposte le movimentazioni delle immobilizzazioni in oggetto. </w:t>
      </w:r>
    </w:p>
    <w:p w:rsidR="004632BA" w:rsidRDefault="004632BA" w:rsidP="00315CF2"/>
    <w:p w:rsidR="004632BA" w:rsidRDefault="004632BA" w:rsidP="004632BA">
      <w:r>
        <w:t xml:space="preserve">Nello specifico, nella categoria “terreni e fabbricati” rientra il fabbricato strumentale ubicato in Mogliano Veneto (TV), via Giacomo Matteotti 8/C, acquistato in data 28 Febbraio 2020 (atto Notaio Nicoletta Mammucari), ove si trova la sede dell’Associazione. </w:t>
      </w:r>
    </w:p>
    <w:p w:rsidR="00315CF2" w:rsidRDefault="00315CF2" w:rsidP="00315CF2"/>
    <w:p w:rsidR="00315CF2" w:rsidRPr="006E2457" w:rsidRDefault="006924C6" w:rsidP="00315CF2">
      <w:pPr>
        <w:pStyle w:val="Titolo8"/>
      </w:pPr>
      <w:r>
        <w:t>Analisi dei movimenti delle immobilizzazioni materiali</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1659"/>
        <w:gridCol w:w="1659"/>
        <w:gridCol w:w="1659"/>
        <w:gridCol w:w="1658"/>
        <w:gridCol w:w="1658"/>
        <w:gridCol w:w="1658"/>
      </w:tblGrid>
      <w:tr w:rsidR="00A5748D" w:rsidRPr="00DC764C" w:rsidTr="00A5748D">
        <w:trPr>
          <w:tblHeader/>
        </w:trPr>
        <w:tc>
          <w:tcPr>
            <w:tcW w:w="833" w:type="pct"/>
            <w:tcBorders>
              <w:top w:val="single" w:sz="12" w:space="0" w:color="000000"/>
              <w:bottom w:val="single" w:sz="12" w:space="0" w:color="000000"/>
            </w:tcBorders>
            <w:shd w:val="clear" w:color="auto" w:fill="C6D9F1"/>
            <w:vAlign w:val="center"/>
          </w:tcPr>
          <w:p w:rsidR="00A5748D" w:rsidRPr="00DC764C" w:rsidRDefault="00A5748D" w:rsidP="00A5748D">
            <w:pPr>
              <w:pStyle w:val="Tabella"/>
              <w:jc w:val="center"/>
              <w:rPr>
                <w:b/>
              </w:rPr>
            </w:pPr>
          </w:p>
        </w:tc>
        <w:tc>
          <w:tcPr>
            <w:tcW w:w="833" w:type="pct"/>
            <w:tcBorders>
              <w:top w:val="single" w:sz="12" w:space="0" w:color="000000"/>
              <w:bottom w:val="single" w:sz="12" w:space="0" w:color="000000"/>
            </w:tcBorders>
            <w:shd w:val="clear" w:color="auto" w:fill="C6D9F1"/>
            <w:vAlign w:val="center"/>
          </w:tcPr>
          <w:p w:rsidR="00A5748D" w:rsidRPr="00DC764C" w:rsidRDefault="00A5748D" w:rsidP="00A5748D">
            <w:pPr>
              <w:pStyle w:val="Tabella"/>
              <w:jc w:val="center"/>
              <w:rPr>
                <w:b/>
              </w:rPr>
            </w:pPr>
            <w:r w:rsidRPr="00DC764C">
              <w:rPr>
                <w:b/>
              </w:rPr>
              <w:t>Terreni e fabbricati</w:t>
            </w:r>
          </w:p>
        </w:tc>
        <w:tc>
          <w:tcPr>
            <w:tcW w:w="833" w:type="pct"/>
            <w:tcBorders>
              <w:top w:val="single" w:sz="12" w:space="0" w:color="000000"/>
              <w:bottom w:val="single" w:sz="12" w:space="0" w:color="000000"/>
            </w:tcBorders>
            <w:shd w:val="clear" w:color="auto" w:fill="C6D9F1"/>
            <w:vAlign w:val="center"/>
          </w:tcPr>
          <w:p w:rsidR="00A5748D" w:rsidRPr="00DC764C" w:rsidRDefault="00A5748D" w:rsidP="00A5748D">
            <w:pPr>
              <w:pStyle w:val="Tabella"/>
              <w:jc w:val="center"/>
              <w:rPr>
                <w:b/>
              </w:rPr>
            </w:pPr>
            <w:r w:rsidRPr="00DC764C">
              <w:rPr>
                <w:b/>
              </w:rPr>
              <w:t>Impianti e macchinari</w:t>
            </w:r>
          </w:p>
        </w:tc>
        <w:tc>
          <w:tcPr>
            <w:tcW w:w="833" w:type="pct"/>
            <w:tcBorders>
              <w:top w:val="single" w:sz="12" w:space="0" w:color="000000"/>
              <w:bottom w:val="single" w:sz="12" w:space="0" w:color="000000"/>
            </w:tcBorders>
            <w:shd w:val="clear" w:color="auto" w:fill="C6D9F1"/>
            <w:vAlign w:val="center"/>
          </w:tcPr>
          <w:p w:rsidR="00A5748D" w:rsidRPr="00DC764C" w:rsidRDefault="00A5748D" w:rsidP="00A5748D">
            <w:pPr>
              <w:pStyle w:val="Tabella"/>
              <w:jc w:val="center"/>
              <w:rPr>
                <w:b/>
              </w:rPr>
            </w:pPr>
            <w:r w:rsidRPr="00DC764C">
              <w:rPr>
                <w:b/>
              </w:rPr>
              <w:t>Attrezzature</w:t>
            </w:r>
          </w:p>
        </w:tc>
        <w:tc>
          <w:tcPr>
            <w:tcW w:w="833" w:type="pct"/>
            <w:tcBorders>
              <w:top w:val="single" w:sz="12" w:space="0" w:color="000000"/>
              <w:bottom w:val="single" w:sz="12" w:space="0" w:color="000000"/>
            </w:tcBorders>
            <w:shd w:val="clear" w:color="auto" w:fill="C6D9F1"/>
            <w:vAlign w:val="center"/>
          </w:tcPr>
          <w:p w:rsidR="00A5748D" w:rsidRPr="00DC764C" w:rsidRDefault="00A5748D" w:rsidP="00A5748D">
            <w:pPr>
              <w:pStyle w:val="Tabella"/>
              <w:jc w:val="center"/>
              <w:rPr>
                <w:b/>
              </w:rPr>
            </w:pPr>
            <w:r w:rsidRPr="00DC764C">
              <w:rPr>
                <w:b/>
              </w:rPr>
              <w:t>Altre immobilizzazioni materiali</w:t>
            </w:r>
          </w:p>
        </w:tc>
        <w:tc>
          <w:tcPr>
            <w:tcW w:w="833" w:type="pct"/>
            <w:tcBorders>
              <w:top w:val="single" w:sz="12" w:space="0" w:color="000000"/>
              <w:bottom w:val="single" w:sz="12" w:space="0" w:color="000000"/>
            </w:tcBorders>
            <w:shd w:val="clear" w:color="auto" w:fill="C6D9F1"/>
            <w:vAlign w:val="center"/>
          </w:tcPr>
          <w:p w:rsidR="00A5748D" w:rsidRPr="00DC764C" w:rsidRDefault="00A5748D" w:rsidP="00A5748D">
            <w:pPr>
              <w:pStyle w:val="Tabella"/>
              <w:jc w:val="center"/>
              <w:rPr>
                <w:b/>
              </w:rPr>
            </w:pPr>
            <w:r w:rsidRPr="00DC764C">
              <w:rPr>
                <w:b/>
              </w:rPr>
              <w:t>Totale immobilizzazioni materiali</w:t>
            </w:r>
          </w:p>
        </w:tc>
      </w:tr>
      <w:tr w:rsidR="00A5748D" w:rsidRPr="00DC764C" w:rsidTr="00A5748D">
        <w:tc>
          <w:tcPr>
            <w:tcW w:w="833" w:type="pct"/>
            <w:tcBorders>
              <w:top w:val="single" w:sz="12" w:space="0" w:color="000000"/>
              <w:bottom w:val="single" w:sz="6" w:space="0" w:color="000000"/>
            </w:tcBorders>
            <w:shd w:val="clear" w:color="auto" w:fill="DBE5F1"/>
            <w:vAlign w:val="center"/>
          </w:tcPr>
          <w:p w:rsidR="00A5748D" w:rsidRPr="00DC764C" w:rsidRDefault="00A5748D" w:rsidP="00A5748D">
            <w:pPr>
              <w:pStyle w:val="Tabella"/>
              <w:rPr>
                <w:b/>
                <w:color w:val="auto"/>
              </w:rPr>
            </w:pPr>
            <w:r w:rsidRPr="00DC764C">
              <w:rPr>
                <w:b/>
                <w:color w:val="auto"/>
              </w:rPr>
              <w:t>Valore di inizio esercizio</w:t>
            </w:r>
          </w:p>
        </w:tc>
        <w:tc>
          <w:tcPr>
            <w:tcW w:w="833" w:type="pct"/>
            <w:tcBorders>
              <w:top w:val="single" w:sz="12"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12"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12"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12"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12"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r>
      <w:tr w:rsidR="00A5748D" w:rsidRPr="00DC764C" w:rsidTr="00A5748D">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Costo</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360.344</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55.598</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26.238</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205.215</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647.395</w:t>
            </w:r>
          </w:p>
        </w:tc>
      </w:tr>
      <w:tr w:rsidR="00A5748D" w:rsidRPr="00DC764C" w:rsidTr="00A5748D">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Ammortamenti (Fondo ammortamento)</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48.646</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28.499</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2.624</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148.306</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228.075</w:t>
            </w:r>
          </w:p>
        </w:tc>
      </w:tr>
      <w:tr w:rsidR="00A5748D" w:rsidRPr="00DC764C" w:rsidTr="00A5748D">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Valore di bilancio</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311.698</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27.099</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23.614</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56.909</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419.320</w:t>
            </w:r>
          </w:p>
        </w:tc>
      </w:tr>
      <w:tr w:rsidR="00A5748D" w:rsidRPr="00DC764C" w:rsidTr="00A5748D">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rPr>
                <w:b/>
                <w:color w:val="auto"/>
              </w:rPr>
            </w:pPr>
            <w:r w:rsidRPr="00DC764C">
              <w:rPr>
                <w:b/>
                <w:color w:val="auto"/>
              </w:rPr>
              <w:t>Variazioni nell'esercizio</w:t>
            </w:r>
          </w:p>
        </w:tc>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r>
      <w:tr w:rsidR="00A5748D" w:rsidRPr="00DC764C" w:rsidTr="00A5748D">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Incrementi per acquisizioni</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13.016</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13.016</w:t>
            </w:r>
          </w:p>
        </w:tc>
      </w:tr>
      <w:tr w:rsidR="00A5748D" w:rsidRPr="00DC764C" w:rsidTr="00A5748D">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Ammortamento dell'esercizio</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10.810</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7.596</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5.248</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11.787</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35.441</w:t>
            </w:r>
          </w:p>
        </w:tc>
      </w:tr>
      <w:tr w:rsidR="00A5748D" w:rsidRPr="00DC764C" w:rsidTr="00A5748D">
        <w:tc>
          <w:tcPr>
            <w:tcW w:w="833" w:type="pct"/>
            <w:tcBorders>
              <w:top w:val="single" w:sz="6" w:space="0" w:color="000000"/>
              <w:bottom w:val="single" w:sz="6" w:space="0" w:color="000000"/>
            </w:tcBorders>
            <w:shd w:val="clear" w:color="auto" w:fill="F1F1F1"/>
            <w:vAlign w:val="center"/>
          </w:tcPr>
          <w:p w:rsidR="00A5748D" w:rsidRPr="00DC764C" w:rsidRDefault="00A5748D" w:rsidP="00A5748D">
            <w:pPr>
              <w:pStyle w:val="Tabella"/>
              <w:rPr>
                <w:i/>
                <w:color w:val="auto"/>
              </w:rPr>
            </w:pPr>
            <w:r w:rsidRPr="00DC764C">
              <w:rPr>
                <w:i/>
                <w:color w:val="auto"/>
              </w:rPr>
              <w:t>Totale variazioni</w:t>
            </w:r>
          </w:p>
        </w:tc>
        <w:tc>
          <w:tcPr>
            <w:tcW w:w="833" w:type="pct"/>
            <w:tcBorders>
              <w:top w:val="single" w:sz="6" w:space="0" w:color="000000"/>
              <w:bottom w:val="single" w:sz="6" w:space="0" w:color="000000"/>
            </w:tcBorders>
            <w:shd w:val="clear" w:color="auto" w:fill="F1F1F1"/>
            <w:vAlign w:val="center"/>
          </w:tcPr>
          <w:p w:rsidR="00A5748D" w:rsidRPr="00DC764C" w:rsidRDefault="00A5748D" w:rsidP="00A5748D">
            <w:pPr>
              <w:pStyle w:val="Tabella"/>
              <w:jc w:val="right"/>
              <w:rPr>
                <w:i/>
                <w:color w:val="auto"/>
              </w:rPr>
            </w:pPr>
            <w:r w:rsidRPr="00DC764C">
              <w:rPr>
                <w:i/>
                <w:color w:val="auto"/>
              </w:rPr>
              <w:t>(10.810)</w:t>
            </w:r>
          </w:p>
        </w:tc>
        <w:tc>
          <w:tcPr>
            <w:tcW w:w="833" w:type="pct"/>
            <w:tcBorders>
              <w:top w:val="single" w:sz="6" w:space="0" w:color="000000"/>
              <w:bottom w:val="single" w:sz="6" w:space="0" w:color="000000"/>
            </w:tcBorders>
            <w:shd w:val="clear" w:color="auto" w:fill="F1F1F1"/>
            <w:vAlign w:val="center"/>
          </w:tcPr>
          <w:p w:rsidR="00A5748D" w:rsidRPr="00DC764C" w:rsidRDefault="00A5748D" w:rsidP="00A5748D">
            <w:pPr>
              <w:pStyle w:val="Tabella"/>
              <w:jc w:val="right"/>
              <w:rPr>
                <w:i/>
                <w:color w:val="auto"/>
              </w:rPr>
            </w:pPr>
            <w:r w:rsidRPr="00DC764C">
              <w:rPr>
                <w:i/>
                <w:color w:val="auto"/>
              </w:rPr>
              <w:t>(7.596)</w:t>
            </w:r>
          </w:p>
        </w:tc>
        <w:tc>
          <w:tcPr>
            <w:tcW w:w="833" w:type="pct"/>
            <w:tcBorders>
              <w:top w:val="single" w:sz="6" w:space="0" w:color="000000"/>
              <w:bottom w:val="single" w:sz="6" w:space="0" w:color="000000"/>
            </w:tcBorders>
            <w:shd w:val="clear" w:color="auto" w:fill="F1F1F1"/>
            <w:vAlign w:val="center"/>
          </w:tcPr>
          <w:p w:rsidR="00A5748D" w:rsidRPr="00DC764C" w:rsidRDefault="00A5748D" w:rsidP="00A5748D">
            <w:pPr>
              <w:pStyle w:val="Tabella"/>
              <w:jc w:val="right"/>
              <w:rPr>
                <w:i/>
                <w:color w:val="auto"/>
              </w:rPr>
            </w:pPr>
            <w:r w:rsidRPr="00DC764C">
              <w:rPr>
                <w:i/>
                <w:color w:val="auto"/>
              </w:rPr>
              <w:t>(5.248)</w:t>
            </w:r>
          </w:p>
        </w:tc>
        <w:tc>
          <w:tcPr>
            <w:tcW w:w="833" w:type="pct"/>
            <w:tcBorders>
              <w:top w:val="single" w:sz="6" w:space="0" w:color="000000"/>
              <w:bottom w:val="single" w:sz="6" w:space="0" w:color="000000"/>
            </w:tcBorders>
            <w:shd w:val="clear" w:color="auto" w:fill="F1F1F1"/>
            <w:vAlign w:val="center"/>
          </w:tcPr>
          <w:p w:rsidR="00A5748D" w:rsidRPr="00DC764C" w:rsidRDefault="00A5748D" w:rsidP="00A5748D">
            <w:pPr>
              <w:pStyle w:val="Tabella"/>
              <w:jc w:val="right"/>
              <w:rPr>
                <w:i/>
                <w:color w:val="auto"/>
              </w:rPr>
            </w:pPr>
            <w:r w:rsidRPr="00DC764C">
              <w:rPr>
                <w:i/>
                <w:color w:val="auto"/>
              </w:rPr>
              <w:t>1.229</w:t>
            </w:r>
          </w:p>
        </w:tc>
        <w:tc>
          <w:tcPr>
            <w:tcW w:w="833" w:type="pct"/>
            <w:tcBorders>
              <w:top w:val="single" w:sz="6" w:space="0" w:color="000000"/>
              <w:bottom w:val="single" w:sz="6" w:space="0" w:color="000000"/>
            </w:tcBorders>
            <w:shd w:val="clear" w:color="auto" w:fill="F1F1F1"/>
            <w:vAlign w:val="center"/>
          </w:tcPr>
          <w:p w:rsidR="00A5748D" w:rsidRPr="00DC764C" w:rsidRDefault="00A5748D" w:rsidP="00A5748D">
            <w:pPr>
              <w:pStyle w:val="Tabella"/>
              <w:jc w:val="right"/>
              <w:rPr>
                <w:i/>
                <w:color w:val="auto"/>
              </w:rPr>
            </w:pPr>
            <w:r w:rsidRPr="00DC764C">
              <w:rPr>
                <w:i/>
                <w:color w:val="auto"/>
              </w:rPr>
              <w:t>(22.425)</w:t>
            </w:r>
          </w:p>
        </w:tc>
      </w:tr>
      <w:tr w:rsidR="00A5748D" w:rsidRPr="00DC764C" w:rsidTr="00A5748D">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rPr>
                <w:b/>
                <w:color w:val="auto"/>
              </w:rPr>
            </w:pPr>
            <w:r w:rsidRPr="00DC764C">
              <w:rPr>
                <w:b/>
                <w:color w:val="auto"/>
              </w:rPr>
              <w:t>Valore di fine esercizio</w:t>
            </w:r>
          </w:p>
        </w:tc>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c>
          <w:tcPr>
            <w:tcW w:w="833" w:type="pct"/>
            <w:tcBorders>
              <w:top w:val="single" w:sz="6" w:space="0" w:color="000000"/>
              <w:bottom w:val="single" w:sz="6" w:space="0" w:color="000000"/>
            </w:tcBorders>
            <w:shd w:val="clear" w:color="auto" w:fill="DBE5F1"/>
            <w:vAlign w:val="center"/>
          </w:tcPr>
          <w:p w:rsidR="00A5748D" w:rsidRPr="00DC764C" w:rsidRDefault="00A5748D" w:rsidP="00A5748D">
            <w:pPr>
              <w:pStyle w:val="Tabella"/>
              <w:jc w:val="right"/>
              <w:rPr>
                <w:b/>
                <w:color w:val="auto"/>
              </w:rPr>
            </w:pPr>
          </w:p>
        </w:tc>
      </w:tr>
      <w:tr w:rsidR="00A5748D" w:rsidRPr="00DC764C" w:rsidTr="00A5748D">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Costo</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360.344</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55.598</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26.238</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218.231</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660.411</w:t>
            </w:r>
          </w:p>
        </w:tc>
      </w:tr>
      <w:tr w:rsidR="00A5748D" w:rsidRPr="00DC764C" w:rsidTr="00A5748D">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rPr>
                <w:color w:val="auto"/>
              </w:rPr>
            </w:pPr>
            <w:r w:rsidRPr="00DC764C">
              <w:rPr>
                <w:color w:val="auto"/>
              </w:rPr>
              <w:t>Ammortamenti (Fondo ammortamento)</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59.457</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36.095</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7.872</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160.093</w:t>
            </w:r>
          </w:p>
        </w:tc>
        <w:tc>
          <w:tcPr>
            <w:tcW w:w="833" w:type="pct"/>
            <w:tcBorders>
              <w:top w:val="single" w:sz="6" w:space="0" w:color="000000"/>
              <w:bottom w:val="single" w:sz="6"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263.517</w:t>
            </w:r>
          </w:p>
        </w:tc>
      </w:tr>
      <w:tr w:rsidR="00A5748D" w:rsidRPr="00DC764C" w:rsidTr="00A5748D">
        <w:tc>
          <w:tcPr>
            <w:tcW w:w="833" w:type="pct"/>
            <w:tcBorders>
              <w:top w:val="single" w:sz="6" w:space="0" w:color="000000"/>
              <w:bottom w:val="single" w:sz="12" w:space="0" w:color="000000"/>
            </w:tcBorders>
            <w:shd w:val="clear" w:color="auto" w:fill="FFFFFF"/>
            <w:vAlign w:val="center"/>
          </w:tcPr>
          <w:p w:rsidR="00A5748D" w:rsidRPr="00DC764C" w:rsidRDefault="00A5748D" w:rsidP="00A5748D">
            <w:pPr>
              <w:pStyle w:val="Tabella"/>
              <w:rPr>
                <w:color w:val="auto"/>
              </w:rPr>
            </w:pPr>
            <w:r w:rsidRPr="00DC764C">
              <w:rPr>
                <w:color w:val="auto"/>
              </w:rPr>
              <w:t>Valore di bilancio</w:t>
            </w:r>
          </w:p>
        </w:tc>
        <w:tc>
          <w:tcPr>
            <w:tcW w:w="833" w:type="pct"/>
            <w:tcBorders>
              <w:top w:val="single" w:sz="6" w:space="0" w:color="000000"/>
              <w:bottom w:val="single" w:sz="12"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300.887</w:t>
            </w:r>
          </w:p>
        </w:tc>
        <w:tc>
          <w:tcPr>
            <w:tcW w:w="833" w:type="pct"/>
            <w:tcBorders>
              <w:top w:val="single" w:sz="6" w:space="0" w:color="000000"/>
              <w:bottom w:val="single" w:sz="12"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19.503</w:t>
            </w:r>
          </w:p>
        </w:tc>
        <w:tc>
          <w:tcPr>
            <w:tcW w:w="833" w:type="pct"/>
            <w:tcBorders>
              <w:top w:val="single" w:sz="6" w:space="0" w:color="000000"/>
              <w:bottom w:val="single" w:sz="12"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18.366</w:t>
            </w:r>
          </w:p>
        </w:tc>
        <w:tc>
          <w:tcPr>
            <w:tcW w:w="833" w:type="pct"/>
            <w:tcBorders>
              <w:top w:val="single" w:sz="6" w:space="0" w:color="000000"/>
              <w:bottom w:val="single" w:sz="12"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58.138</w:t>
            </w:r>
          </w:p>
        </w:tc>
        <w:tc>
          <w:tcPr>
            <w:tcW w:w="833" w:type="pct"/>
            <w:tcBorders>
              <w:top w:val="single" w:sz="6" w:space="0" w:color="000000"/>
              <w:bottom w:val="single" w:sz="12" w:space="0" w:color="000000"/>
            </w:tcBorders>
            <w:shd w:val="clear" w:color="auto" w:fill="FFFFFF"/>
            <w:vAlign w:val="center"/>
          </w:tcPr>
          <w:p w:rsidR="00A5748D" w:rsidRPr="00DC764C" w:rsidRDefault="00A5748D" w:rsidP="00A5748D">
            <w:pPr>
              <w:pStyle w:val="Tabella"/>
              <w:jc w:val="right"/>
              <w:rPr>
                <w:color w:val="auto"/>
              </w:rPr>
            </w:pPr>
            <w:r w:rsidRPr="00DC764C">
              <w:rPr>
                <w:color w:val="auto"/>
              </w:rPr>
              <w:t>396.894</w:t>
            </w:r>
          </w:p>
        </w:tc>
      </w:tr>
    </w:tbl>
    <w:p w:rsidR="00315CF2" w:rsidRPr="007A215B" w:rsidRDefault="00315CF2" w:rsidP="00315CF2"/>
    <w:p w:rsidR="00315CF2" w:rsidRPr="006E2457" w:rsidRDefault="006924C6" w:rsidP="00315CF2">
      <w:pPr>
        <w:pStyle w:val="Titolo6"/>
      </w:pPr>
      <w:r>
        <w:t>III - Immobilizzazioni finanziarie</w:t>
      </w:r>
    </w:p>
    <w:p w:rsidR="00315CF2" w:rsidRPr="006E2457" w:rsidRDefault="006924C6" w:rsidP="00315CF2">
      <w:pPr>
        <w:pStyle w:val="Titolo7"/>
      </w:pPr>
      <w:r>
        <w:t>Movimenti delle partecipazioni, degli altri titoli e degli strumenti finanziari derivati attivi iscritti nelle immobilizzazioni finanziarie</w:t>
      </w:r>
    </w:p>
    <w:p w:rsidR="00315CF2" w:rsidRPr="006E2457" w:rsidRDefault="006924C6" w:rsidP="00315CF2">
      <w:pPr>
        <w:pStyle w:val="Titolo8"/>
      </w:pPr>
      <w:r>
        <w:t>Introduzione</w:t>
      </w:r>
    </w:p>
    <w:p w:rsidR="00315CF2" w:rsidRPr="007A215B" w:rsidRDefault="007A215B" w:rsidP="00315CF2">
      <w:r w:rsidRPr="007A215B">
        <w:t xml:space="preserve">Nella seguente tabella vengono esposte le movimentazioni delle immobilizzazioni in oggetto. </w:t>
      </w:r>
    </w:p>
    <w:p w:rsidR="00315CF2" w:rsidRPr="006E2457" w:rsidRDefault="006924C6" w:rsidP="00315CF2">
      <w:pPr>
        <w:pStyle w:val="Titolo8"/>
      </w:pPr>
      <w:r>
        <w:t>Analisi dei movimenti delle partecipazioni, degli altri titoli e degli strumenti finanziari derivati attivi iscritti nelle immobilizzazioni finanziarie</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4975"/>
        <w:gridCol w:w="4976"/>
      </w:tblGrid>
      <w:tr w:rsidR="007A215B" w:rsidRPr="007A215B" w:rsidTr="007A215B">
        <w:trPr>
          <w:tblHeader/>
        </w:trPr>
        <w:tc>
          <w:tcPr>
            <w:tcW w:w="2500" w:type="pct"/>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p>
        </w:tc>
        <w:tc>
          <w:tcPr>
            <w:tcW w:w="2500" w:type="pct"/>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Altri titoli</w:t>
            </w:r>
          </w:p>
        </w:tc>
      </w:tr>
      <w:tr w:rsidR="007A215B" w:rsidRPr="007A215B" w:rsidTr="007A215B">
        <w:tc>
          <w:tcPr>
            <w:tcW w:w="2500" w:type="pct"/>
            <w:tcBorders>
              <w:top w:val="single" w:sz="12" w:space="0" w:color="000000"/>
              <w:bottom w:val="single" w:sz="6" w:space="0" w:color="000000"/>
            </w:tcBorders>
            <w:shd w:val="clear" w:color="auto" w:fill="DBE5F1"/>
            <w:vAlign w:val="center"/>
          </w:tcPr>
          <w:p w:rsidR="007A215B" w:rsidRPr="007A215B" w:rsidRDefault="007A215B" w:rsidP="007A215B">
            <w:pPr>
              <w:pStyle w:val="Tabella"/>
              <w:rPr>
                <w:b/>
                <w:color w:val="auto"/>
              </w:rPr>
            </w:pPr>
            <w:r w:rsidRPr="007A215B">
              <w:rPr>
                <w:b/>
                <w:color w:val="auto"/>
              </w:rPr>
              <w:t>Variazioni nell'esercizio</w:t>
            </w:r>
          </w:p>
        </w:tc>
        <w:tc>
          <w:tcPr>
            <w:tcW w:w="2500" w:type="pct"/>
            <w:tcBorders>
              <w:top w:val="single" w:sz="12" w:space="0" w:color="000000"/>
              <w:bottom w:val="single" w:sz="6" w:space="0" w:color="000000"/>
            </w:tcBorders>
            <w:shd w:val="clear" w:color="auto" w:fill="DBE5F1"/>
            <w:vAlign w:val="center"/>
          </w:tcPr>
          <w:p w:rsidR="007A215B" w:rsidRPr="007A215B" w:rsidRDefault="007A215B" w:rsidP="007A215B">
            <w:pPr>
              <w:pStyle w:val="Tabella"/>
              <w:jc w:val="right"/>
              <w:rPr>
                <w:b/>
                <w:color w:val="auto"/>
              </w:rPr>
            </w:pPr>
          </w:p>
        </w:tc>
      </w:tr>
      <w:tr w:rsidR="007A215B" w:rsidRPr="007A215B" w:rsidTr="007A215B">
        <w:tc>
          <w:tcPr>
            <w:tcW w:w="2500" w:type="pct"/>
            <w:tcBorders>
              <w:top w:val="single" w:sz="6" w:space="0" w:color="000000"/>
              <w:bottom w:val="single" w:sz="6" w:space="0" w:color="000000"/>
            </w:tcBorders>
            <w:shd w:val="clear" w:color="auto" w:fill="FFFFFF"/>
            <w:vAlign w:val="center"/>
          </w:tcPr>
          <w:p w:rsidR="007A215B" w:rsidRPr="007A215B" w:rsidRDefault="007A215B" w:rsidP="007A215B">
            <w:pPr>
              <w:pStyle w:val="Tabella"/>
              <w:rPr>
                <w:color w:val="auto"/>
              </w:rPr>
            </w:pPr>
            <w:r w:rsidRPr="007A215B">
              <w:rPr>
                <w:color w:val="auto"/>
              </w:rPr>
              <w:t>Incrementi per acquisizioni</w:t>
            </w:r>
          </w:p>
        </w:tc>
        <w:tc>
          <w:tcPr>
            <w:tcW w:w="2500" w:type="pct"/>
            <w:tcBorders>
              <w:top w:val="single" w:sz="6"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300.000</w:t>
            </w:r>
          </w:p>
        </w:tc>
      </w:tr>
      <w:tr w:rsidR="007A215B" w:rsidRPr="007A215B" w:rsidTr="007A215B">
        <w:tc>
          <w:tcPr>
            <w:tcW w:w="2500" w:type="pct"/>
            <w:tcBorders>
              <w:top w:val="single" w:sz="6" w:space="0" w:color="000000"/>
              <w:bottom w:val="single" w:sz="6" w:space="0" w:color="000000"/>
            </w:tcBorders>
            <w:shd w:val="clear" w:color="auto" w:fill="FFFFFF"/>
            <w:vAlign w:val="center"/>
          </w:tcPr>
          <w:p w:rsidR="007A215B" w:rsidRPr="007A215B" w:rsidRDefault="007A215B" w:rsidP="007A215B">
            <w:pPr>
              <w:pStyle w:val="Tabella"/>
              <w:rPr>
                <w:color w:val="auto"/>
              </w:rPr>
            </w:pPr>
            <w:r w:rsidRPr="007A215B">
              <w:rPr>
                <w:color w:val="auto"/>
              </w:rPr>
              <w:t>Totale variazioni</w:t>
            </w:r>
          </w:p>
        </w:tc>
        <w:tc>
          <w:tcPr>
            <w:tcW w:w="2500" w:type="pct"/>
            <w:tcBorders>
              <w:top w:val="single" w:sz="6"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300.000</w:t>
            </w:r>
          </w:p>
        </w:tc>
      </w:tr>
      <w:tr w:rsidR="007A215B" w:rsidRPr="007A215B" w:rsidTr="007A215B">
        <w:tc>
          <w:tcPr>
            <w:tcW w:w="2500" w:type="pct"/>
            <w:tcBorders>
              <w:top w:val="single" w:sz="6" w:space="0" w:color="000000"/>
              <w:bottom w:val="single" w:sz="6" w:space="0" w:color="000000"/>
            </w:tcBorders>
            <w:shd w:val="clear" w:color="auto" w:fill="DBE5F1"/>
            <w:vAlign w:val="center"/>
          </w:tcPr>
          <w:p w:rsidR="007A215B" w:rsidRPr="007A215B" w:rsidRDefault="007A215B" w:rsidP="007A215B">
            <w:pPr>
              <w:pStyle w:val="Tabella"/>
              <w:rPr>
                <w:b/>
                <w:color w:val="auto"/>
              </w:rPr>
            </w:pPr>
            <w:r w:rsidRPr="007A215B">
              <w:rPr>
                <w:b/>
                <w:color w:val="auto"/>
              </w:rPr>
              <w:t>Valore di fine esercizio</w:t>
            </w:r>
          </w:p>
        </w:tc>
        <w:tc>
          <w:tcPr>
            <w:tcW w:w="2500" w:type="pct"/>
            <w:tcBorders>
              <w:top w:val="single" w:sz="6" w:space="0" w:color="000000"/>
              <w:bottom w:val="single" w:sz="6" w:space="0" w:color="000000"/>
            </w:tcBorders>
            <w:shd w:val="clear" w:color="auto" w:fill="DBE5F1"/>
            <w:vAlign w:val="center"/>
          </w:tcPr>
          <w:p w:rsidR="007A215B" w:rsidRPr="007A215B" w:rsidRDefault="007A215B" w:rsidP="007A215B">
            <w:pPr>
              <w:pStyle w:val="Tabella"/>
              <w:jc w:val="right"/>
              <w:rPr>
                <w:b/>
                <w:color w:val="auto"/>
              </w:rPr>
            </w:pPr>
          </w:p>
        </w:tc>
      </w:tr>
      <w:tr w:rsidR="007A215B" w:rsidRPr="007A215B" w:rsidTr="007A215B">
        <w:tc>
          <w:tcPr>
            <w:tcW w:w="2500" w:type="pct"/>
            <w:tcBorders>
              <w:top w:val="single" w:sz="6" w:space="0" w:color="000000"/>
              <w:bottom w:val="single" w:sz="6" w:space="0" w:color="000000"/>
            </w:tcBorders>
            <w:shd w:val="clear" w:color="auto" w:fill="FFFFFF"/>
            <w:vAlign w:val="center"/>
          </w:tcPr>
          <w:p w:rsidR="007A215B" w:rsidRPr="007A215B" w:rsidRDefault="007A215B" w:rsidP="007A215B">
            <w:pPr>
              <w:pStyle w:val="Tabella"/>
              <w:rPr>
                <w:color w:val="auto"/>
              </w:rPr>
            </w:pPr>
            <w:r w:rsidRPr="007A215B">
              <w:rPr>
                <w:color w:val="auto"/>
              </w:rPr>
              <w:t>Costo</w:t>
            </w:r>
          </w:p>
        </w:tc>
        <w:tc>
          <w:tcPr>
            <w:tcW w:w="2500" w:type="pct"/>
            <w:tcBorders>
              <w:top w:val="single" w:sz="6"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300.000</w:t>
            </w:r>
          </w:p>
        </w:tc>
      </w:tr>
      <w:tr w:rsidR="007A215B" w:rsidRPr="007A215B" w:rsidTr="007A215B">
        <w:tc>
          <w:tcPr>
            <w:tcW w:w="2500" w:type="pct"/>
            <w:tcBorders>
              <w:top w:val="single" w:sz="6" w:space="0" w:color="000000"/>
              <w:bottom w:val="single" w:sz="12" w:space="0" w:color="000000"/>
            </w:tcBorders>
            <w:shd w:val="clear" w:color="auto" w:fill="FFFFFF"/>
            <w:vAlign w:val="center"/>
          </w:tcPr>
          <w:p w:rsidR="007A215B" w:rsidRPr="007A215B" w:rsidRDefault="007A215B" w:rsidP="007A215B">
            <w:pPr>
              <w:pStyle w:val="Tabella"/>
              <w:rPr>
                <w:color w:val="auto"/>
              </w:rPr>
            </w:pPr>
            <w:r w:rsidRPr="007A215B">
              <w:rPr>
                <w:color w:val="auto"/>
              </w:rPr>
              <w:t>Valore di bilancio</w:t>
            </w:r>
          </w:p>
        </w:tc>
        <w:tc>
          <w:tcPr>
            <w:tcW w:w="2500" w:type="pct"/>
            <w:tcBorders>
              <w:top w:val="single" w:sz="6" w:space="0" w:color="000000"/>
              <w:bottom w:val="single" w:sz="12"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300.000</w:t>
            </w:r>
          </w:p>
        </w:tc>
      </w:tr>
    </w:tbl>
    <w:p w:rsidR="00315CF2" w:rsidRPr="007A215B" w:rsidRDefault="00315CF2" w:rsidP="00315CF2"/>
    <w:p w:rsidR="00315CF2" w:rsidRPr="006E2457" w:rsidRDefault="006924C6" w:rsidP="00315CF2">
      <w:pPr>
        <w:pStyle w:val="Titolo8"/>
      </w:pPr>
      <w:r>
        <w:t>Commento</w:t>
      </w:r>
    </w:p>
    <w:p w:rsidR="004632BA" w:rsidRDefault="004632BA" w:rsidP="00315CF2">
      <w:r w:rsidRPr="004632BA">
        <w:t>Le immobilizzazioni finanziarie sono rappresentate da un investimento obbligazionario presso Banca Fideuram denominata Linea “Euro Govies” in particolare di titoli obbligazionari di emittenti governativi o sovranazionali dell’area Euro per complessivi Euro 300.000,00.</w:t>
      </w:r>
    </w:p>
    <w:p w:rsidR="00315CF2" w:rsidRDefault="007A215B" w:rsidP="00315CF2">
      <w:r w:rsidRPr="007A215B">
        <w:t>Non vi sono stati cambiamenti di destinazione dei titoli.</w:t>
      </w:r>
      <w:r>
        <w:t xml:space="preserve"> </w:t>
      </w:r>
    </w:p>
    <w:p w:rsidR="00315CF2" w:rsidRPr="006E2457" w:rsidRDefault="006924C6" w:rsidP="00315CF2">
      <w:pPr>
        <w:pStyle w:val="Titolo5"/>
      </w:pPr>
      <w:r>
        <w:t>C) Attivo circolante</w:t>
      </w:r>
    </w:p>
    <w:p w:rsidR="00315CF2" w:rsidRPr="006E2457" w:rsidRDefault="006924C6" w:rsidP="00315CF2">
      <w:pPr>
        <w:pStyle w:val="Titolo6"/>
      </w:pPr>
      <w:r>
        <w:t>II - Crediti</w:t>
      </w:r>
    </w:p>
    <w:p w:rsidR="00315CF2" w:rsidRPr="006E2457" w:rsidRDefault="006924C6" w:rsidP="00315CF2">
      <w:pPr>
        <w:pStyle w:val="Titolo7"/>
      </w:pPr>
      <w:r>
        <w:t>Scadenza dei crediti iscritti nell'attivo circolante</w:t>
      </w:r>
    </w:p>
    <w:p w:rsidR="00315CF2" w:rsidRPr="006E2457" w:rsidRDefault="006924C6" w:rsidP="00315CF2">
      <w:pPr>
        <w:pStyle w:val="Titolo8"/>
      </w:pPr>
      <w:r>
        <w:t>Introduzione</w:t>
      </w:r>
    </w:p>
    <w:p w:rsidR="00315CF2" w:rsidRPr="007A215B" w:rsidRDefault="007A215B" w:rsidP="00315CF2">
      <w:r w:rsidRPr="007A215B">
        <w:t xml:space="preserve">Nella seguente tabella vengono esposte le informazioni relative alla scadenza  dei crediti iscritti nell'attivo circolante. In particolare, viene indicato, distintamente per ciascuna voce, l'ammontare dei crediti di durata residua superiore a cinque anni. </w:t>
      </w:r>
    </w:p>
    <w:p w:rsidR="00315CF2" w:rsidRPr="006E2457" w:rsidRDefault="006924C6" w:rsidP="00315CF2">
      <w:pPr>
        <w:pStyle w:val="Titolo8"/>
      </w:pPr>
      <w:r>
        <w:t>Analisi della scadenza dei crediti iscritti nell'attivo circolante</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6219"/>
        <w:gridCol w:w="3732"/>
      </w:tblGrid>
      <w:tr w:rsidR="007A215B" w:rsidRPr="007A215B" w:rsidTr="007A215B">
        <w:trPr>
          <w:tblHeader/>
        </w:trPr>
        <w:tc>
          <w:tcPr>
            <w:tcW w:w="3125" w:type="pct"/>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p>
        </w:tc>
        <w:tc>
          <w:tcPr>
            <w:tcW w:w="1875" w:type="pct"/>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Quota scadente entro l'esercizio</w:t>
            </w:r>
          </w:p>
        </w:tc>
      </w:tr>
      <w:tr w:rsidR="007A215B" w:rsidRPr="007A215B" w:rsidTr="007A215B">
        <w:tc>
          <w:tcPr>
            <w:tcW w:w="3125" w:type="pct"/>
            <w:tcBorders>
              <w:top w:val="single" w:sz="12" w:space="0" w:color="000000"/>
              <w:bottom w:val="single" w:sz="6" w:space="0" w:color="000000"/>
            </w:tcBorders>
            <w:shd w:val="clear" w:color="auto" w:fill="FFFFFF"/>
            <w:vAlign w:val="center"/>
          </w:tcPr>
          <w:p w:rsidR="007A215B" w:rsidRPr="007A215B" w:rsidRDefault="007A215B" w:rsidP="007A215B">
            <w:pPr>
              <w:pStyle w:val="Tabella"/>
              <w:rPr>
                <w:color w:val="auto"/>
              </w:rPr>
            </w:pPr>
            <w:r w:rsidRPr="007A215B">
              <w:rPr>
                <w:color w:val="auto"/>
              </w:rPr>
              <w:t>Crediti tributari</w:t>
            </w:r>
          </w:p>
        </w:tc>
        <w:tc>
          <w:tcPr>
            <w:tcW w:w="1875" w:type="pct"/>
            <w:tcBorders>
              <w:top w:val="single" w:sz="12"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w:t>
            </w:r>
          </w:p>
        </w:tc>
      </w:tr>
      <w:tr w:rsidR="007A215B" w:rsidRPr="007A215B" w:rsidTr="007A215B">
        <w:tc>
          <w:tcPr>
            <w:tcW w:w="3125" w:type="pct"/>
            <w:tcBorders>
              <w:top w:val="single" w:sz="6" w:space="0" w:color="000000"/>
              <w:bottom w:val="single" w:sz="6" w:space="0" w:color="000000"/>
            </w:tcBorders>
            <w:shd w:val="clear" w:color="auto" w:fill="FFFFFF"/>
            <w:vAlign w:val="center"/>
          </w:tcPr>
          <w:p w:rsidR="007A215B" w:rsidRPr="007A215B" w:rsidRDefault="007A215B" w:rsidP="007A215B">
            <w:pPr>
              <w:pStyle w:val="Tabella"/>
              <w:rPr>
                <w:color w:val="auto"/>
              </w:rPr>
            </w:pPr>
            <w:r w:rsidRPr="007A215B">
              <w:rPr>
                <w:color w:val="auto"/>
              </w:rPr>
              <w:t>Crediti verso altri</w:t>
            </w:r>
          </w:p>
        </w:tc>
        <w:tc>
          <w:tcPr>
            <w:tcW w:w="1875" w:type="pct"/>
            <w:tcBorders>
              <w:top w:val="single" w:sz="6"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15.008</w:t>
            </w:r>
          </w:p>
        </w:tc>
      </w:tr>
      <w:tr w:rsidR="007A215B" w:rsidRPr="007A215B" w:rsidTr="007A215B">
        <w:tc>
          <w:tcPr>
            <w:tcW w:w="3125" w:type="pct"/>
            <w:tcBorders>
              <w:top w:val="single" w:sz="6" w:space="0" w:color="000000"/>
              <w:bottom w:val="single" w:sz="12" w:space="0" w:color="000000"/>
            </w:tcBorders>
            <w:shd w:val="clear" w:color="auto" w:fill="DBE5F1"/>
            <w:vAlign w:val="center"/>
          </w:tcPr>
          <w:p w:rsidR="007A215B" w:rsidRPr="007A215B" w:rsidRDefault="007A215B" w:rsidP="007A215B">
            <w:pPr>
              <w:pStyle w:val="Tabella"/>
              <w:rPr>
                <w:b/>
                <w:color w:val="auto"/>
              </w:rPr>
            </w:pPr>
            <w:r w:rsidRPr="007A215B">
              <w:rPr>
                <w:b/>
                <w:color w:val="auto"/>
              </w:rPr>
              <w:t>Totale</w:t>
            </w:r>
          </w:p>
        </w:tc>
        <w:tc>
          <w:tcPr>
            <w:tcW w:w="1875" w:type="pct"/>
            <w:tcBorders>
              <w:top w:val="single" w:sz="6" w:space="0" w:color="000000"/>
              <w:bottom w:val="single" w:sz="12" w:space="0" w:color="000000"/>
            </w:tcBorders>
            <w:shd w:val="clear" w:color="auto" w:fill="DBE5F1"/>
            <w:vAlign w:val="center"/>
          </w:tcPr>
          <w:p w:rsidR="007A215B" w:rsidRPr="007A215B" w:rsidRDefault="007A215B" w:rsidP="007A215B">
            <w:pPr>
              <w:pStyle w:val="Tabella"/>
              <w:jc w:val="right"/>
              <w:rPr>
                <w:b/>
                <w:color w:val="auto"/>
              </w:rPr>
            </w:pPr>
            <w:r w:rsidRPr="007A215B">
              <w:rPr>
                <w:b/>
                <w:color w:val="auto"/>
              </w:rPr>
              <w:t>15.008</w:t>
            </w:r>
          </w:p>
        </w:tc>
      </w:tr>
    </w:tbl>
    <w:p w:rsidR="00315CF2" w:rsidRPr="007A215B" w:rsidRDefault="00315CF2" w:rsidP="00315CF2"/>
    <w:p w:rsidR="00315CF2" w:rsidRPr="006E2457" w:rsidRDefault="006924C6" w:rsidP="00315CF2">
      <w:pPr>
        <w:pStyle w:val="Titolo6"/>
      </w:pPr>
      <w:r>
        <w:t>IV - Disponibilità liquide</w:t>
      </w:r>
    </w:p>
    <w:p w:rsidR="00315CF2" w:rsidRPr="006E2457" w:rsidRDefault="006924C6" w:rsidP="00315CF2">
      <w:pPr>
        <w:pStyle w:val="Titolo7"/>
      </w:pPr>
      <w:r>
        <w:t>Commento</w:t>
      </w:r>
    </w:p>
    <w:p w:rsidR="00315CF2" w:rsidRDefault="004632BA" w:rsidP="00315CF2">
      <w:r w:rsidRPr="004632BA">
        <w:rPr>
          <w:rFonts w:eastAsia="Times New Roman"/>
        </w:rPr>
        <w:t xml:space="preserve">Trattasi di disponibilità bancarie per complessivi Euro </w:t>
      </w:r>
      <w:r>
        <w:rPr>
          <w:rFonts w:eastAsia="Times New Roman"/>
        </w:rPr>
        <w:t>680.728</w:t>
      </w:r>
      <w:r w:rsidRPr="004632BA">
        <w:rPr>
          <w:rFonts w:eastAsia="Times New Roman"/>
        </w:rPr>
        <w:t xml:space="preserve"> e fondo cassa per complessivi Euro </w:t>
      </w:r>
      <w:r>
        <w:rPr>
          <w:rFonts w:eastAsia="Times New Roman"/>
        </w:rPr>
        <w:t>947</w:t>
      </w:r>
      <w:r w:rsidRPr="004632BA">
        <w:rPr>
          <w:rFonts w:eastAsia="Times New Roman"/>
        </w:rPr>
        <w:t>.</w:t>
      </w:r>
    </w:p>
    <w:p w:rsidR="00315CF2" w:rsidRPr="006E2457" w:rsidRDefault="006924C6" w:rsidP="00315CF2">
      <w:pPr>
        <w:pStyle w:val="Titolo5"/>
      </w:pPr>
      <w:r>
        <w:t>D) Ratei e risconti attivi</w:t>
      </w:r>
    </w:p>
    <w:p w:rsidR="00315CF2" w:rsidRPr="006E2457" w:rsidRDefault="006924C6" w:rsidP="00315CF2">
      <w:pPr>
        <w:pStyle w:val="Titolo6"/>
      </w:pPr>
      <w:r>
        <w:t>Commento</w:t>
      </w:r>
    </w:p>
    <w:p w:rsidR="00AB583A" w:rsidRPr="007A215B" w:rsidRDefault="007A215B" w:rsidP="007A215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sidRPr="007A215B">
        <w:t xml:space="preserve">Nel seguente prospetto </w:t>
      </w:r>
      <w:r w:rsidR="004632BA">
        <w:t>è</w:t>
      </w:r>
      <w:r w:rsidRPr="007A215B">
        <w:t xml:space="preserve"> illustrata la composizione delle voci di cui in oggetto, in quanto risultanti iscritte in bilancio. </w:t>
      </w:r>
    </w:p>
    <w:tbl>
      <w:tblPr>
        <w:tblW w:w="9840" w:type="dxa"/>
        <w:tblInd w:w="-30" w:type="dxa"/>
        <w:tblBorders>
          <w:top w:val="single" w:sz="12" w:space="0" w:color="000000"/>
          <w:left w:val="nil"/>
          <w:bottom w:val="single" w:sz="12" w:space="0" w:color="000000"/>
          <w:right w:val="nil"/>
          <w:insideH w:val="nil"/>
          <w:insideV w:val="nil"/>
        </w:tblBorders>
        <w:shd w:val="clear" w:color="auto" w:fill="FFFFFF"/>
        <w:tblLayout w:type="fixed"/>
        <w:tblCellMar>
          <w:top w:w="40" w:type="dxa"/>
          <w:left w:w="40" w:type="dxa"/>
          <w:bottom w:w="40" w:type="dxa"/>
          <w:right w:w="40" w:type="dxa"/>
        </w:tblCellMar>
        <w:tblLook w:val="00A0" w:firstRow="1" w:lastRow="0" w:firstColumn="1" w:lastColumn="0" w:noHBand="0" w:noVBand="0"/>
      </w:tblPr>
      <w:tblGrid>
        <w:gridCol w:w="4240"/>
        <w:gridCol w:w="4000"/>
        <w:gridCol w:w="1600"/>
      </w:tblGrid>
      <w:tr w:rsidR="007A215B" w:rsidRPr="007A215B" w:rsidTr="007A215B">
        <w:trPr>
          <w:tblHeader/>
        </w:trPr>
        <w:tc>
          <w:tcPr>
            <w:tcW w:w="4240" w:type="dxa"/>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Descrizione</w:t>
            </w:r>
          </w:p>
        </w:tc>
        <w:tc>
          <w:tcPr>
            <w:tcW w:w="4000" w:type="dxa"/>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Dettaglio</w:t>
            </w:r>
          </w:p>
        </w:tc>
        <w:tc>
          <w:tcPr>
            <w:tcW w:w="1600" w:type="dxa"/>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Importo esercizio corrente</w:t>
            </w:r>
          </w:p>
        </w:tc>
      </w:tr>
      <w:tr w:rsidR="007A215B" w:rsidRPr="007A215B" w:rsidTr="007A215B">
        <w:tc>
          <w:tcPr>
            <w:tcW w:w="4240" w:type="dxa"/>
            <w:tcBorders>
              <w:top w:val="single" w:sz="12" w:space="0" w:color="000000"/>
              <w:bottom w:val="single" w:sz="6" w:space="0" w:color="000000"/>
            </w:tcBorders>
            <w:shd w:val="clear" w:color="auto" w:fill="F1F1F1"/>
            <w:vAlign w:val="center"/>
          </w:tcPr>
          <w:p w:rsidR="007A215B" w:rsidRPr="007A215B" w:rsidRDefault="007A215B" w:rsidP="007A215B">
            <w:pPr>
              <w:pStyle w:val="Tabella"/>
              <w:rPr>
                <w:i/>
                <w:color w:val="auto"/>
              </w:rPr>
            </w:pPr>
            <w:r w:rsidRPr="007A215B">
              <w:rPr>
                <w:i/>
                <w:color w:val="auto"/>
              </w:rPr>
              <w:t>RATEI E RISCONTI ATTIVI</w:t>
            </w:r>
          </w:p>
        </w:tc>
        <w:tc>
          <w:tcPr>
            <w:tcW w:w="4000" w:type="dxa"/>
            <w:tcBorders>
              <w:top w:val="single" w:sz="12" w:space="0" w:color="000000"/>
              <w:bottom w:val="single" w:sz="6" w:space="0" w:color="000000"/>
            </w:tcBorders>
            <w:shd w:val="clear" w:color="auto" w:fill="F1F1F1"/>
            <w:vAlign w:val="center"/>
          </w:tcPr>
          <w:p w:rsidR="007A215B" w:rsidRPr="007A215B" w:rsidRDefault="007A215B" w:rsidP="007A215B">
            <w:pPr>
              <w:pStyle w:val="Tabella"/>
              <w:rPr>
                <w:i/>
                <w:color w:val="auto"/>
              </w:rPr>
            </w:pPr>
          </w:p>
        </w:tc>
        <w:tc>
          <w:tcPr>
            <w:tcW w:w="1600" w:type="dxa"/>
            <w:tcBorders>
              <w:top w:val="single" w:sz="12" w:space="0" w:color="000000"/>
              <w:bottom w:val="single" w:sz="6" w:space="0" w:color="000000"/>
            </w:tcBorders>
            <w:shd w:val="clear" w:color="auto" w:fill="F1F1F1"/>
            <w:vAlign w:val="center"/>
          </w:tcPr>
          <w:p w:rsidR="007A215B" w:rsidRPr="007A215B" w:rsidRDefault="007A215B" w:rsidP="007A215B">
            <w:pPr>
              <w:pStyle w:val="Tabella"/>
              <w:jc w:val="right"/>
              <w:rPr>
                <w:i/>
                <w:color w:val="auto"/>
              </w:rPr>
            </w:pPr>
          </w:p>
        </w:tc>
      </w:tr>
      <w:tr w:rsidR="007A215B" w:rsidRPr="007A215B" w:rsidTr="007A215B">
        <w:tc>
          <w:tcPr>
            <w:tcW w:w="4240" w:type="dxa"/>
            <w:tcBorders>
              <w:top w:val="single" w:sz="6" w:space="0" w:color="000000"/>
              <w:bottom w:val="single" w:sz="6" w:space="0" w:color="000000"/>
            </w:tcBorders>
            <w:shd w:val="clear" w:color="auto" w:fill="FFFFFF"/>
            <w:vAlign w:val="center"/>
          </w:tcPr>
          <w:p w:rsidR="007A215B" w:rsidRPr="007A215B" w:rsidRDefault="007A215B" w:rsidP="007A215B">
            <w:pPr>
              <w:pStyle w:val="Tabella"/>
              <w:rPr>
                <w:color w:val="auto"/>
              </w:rPr>
            </w:pPr>
          </w:p>
        </w:tc>
        <w:tc>
          <w:tcPr>
            <w:tcW w:w="4000" w:type="dxa"/>
            <w:tcBorders>
              <w:top w:val="single" w:sz="6" w:space="0" w:color="000000"/>
              <w:bottom w:val="single" w:sz="6" w:space="0" w:color="000000"/>
            </w:tcBorders>
            <w:shd w:val="clear" w:color="auto" w:fill="FFFFFF"/>
            <w:vAlign w:val="center"/>
          </w:tcPr>
          <w:p w:rsidR="007A215B" w:rsidRPr="007A215B" w:rsidRDefault="007A215B" w:rsidP="007A215B">
            <w:pPr>
              <w:pStyle w:val="Tabella"/>
              <w:rPr>
                <w:color w:val="auto"/>
              </w:rPr>
            </w:pPr>
            <w:r w:rsidRPr="007A215B">
              <w:rPr>
                <w:color w:val="auto"/>
              </w:rPr>
              <w:t>Ratei attivi</w:t>
            </w:r>
          </w:p>
        </w:tc>
        <w:tc>
          <w:tcPr>
            <w:tcW w:w="1600" w:type="dxa"/>
            <w:tcBorders>
              <w:top w:val="single" w:sz="6"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1.056</w:t>
            </w:r>
          </w:p>
        </w:tc>
      </w:tr>
      <w:tr w:rsidR="007A215B" w:rsidRPr="007A215B" w:rsidTr="007A215B">
        <w:tc>
          <w:tcPr>
            <w:tcW w:w="4240" w:type="dxa"/>
            <w:tcBorders>
              <w:top w:val="single" w:sz="6" w:space="0" w:color="000000"/>
              <w:bottom w:val="single" w:sz="6" w:space="0" w:color="000000"/>
            </w:tcBorders>
            <w:shd w:val="clear" w:color="auto" w:fill="FFFFFF"/>
            <w:vAlign w:val="center"/>
          </w:tcPr>
          <w:p w:rsidR="007A215B" w:rsidRPr="007A215B" w:rsidRDefault="007A215B" w:rsidP="007A215B">
            <w:pPr>
              <w:pStyle w:val="Tabella"/>
              <w:rPr>
                <w:color w:val="auto"/>
              </w:rPr>
            </w:pPr>
          </w:p>
        </w:tc>
        <w:tc>
          <w:tcPr>
            <w:tcW w:w="4000" w:type="dxa"/>
            <w:tcBorders>
              <w:top w:val="single" w:sz="6" w:space="0" w:color="000000"/>
              <w:bottom w:val="single" w:sz="6" w:space="0" w:color="000000"/>
            </w:tcBorders>
            <w:shd w:val="clear" w:color="auto" w:fill="FFFFFF"/>
            <w:vAlign w:val="center"/>
          </w:tcPr>
          <w:p w:rsidR="007A215B" w:rsidRPr="007A215B" w:rsidRDefault="007A215B" w:rsidP="007A215B">
            <w:pPr>
              <w:pStyle w:val="Tabella"/>
              <w:rPr>
                <w:color w:val="auto"/>
              </w:rPr>
            </w:pPr>
            <w:r w:rsidRPr="007A215B">
              <w:rPr>
                <w:color w:val="auto"/>
              </w:rPr>
              <w:t>Risconti attivi</w:t>
            </w:r>
          </w:p>
        </w:tc>
        <w:tc>
          <w:tcPr>
            <w:tcW w:w="1600" w:type="dxa"/>
            <w:tcBorders>
              <w:top w:val="single" w:sz="6"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1.937</w:t>
            </w:r>
          </w:p>
        </w:tc>
      </w:tr>
      <w:tr w:rsidR="007A215B" w:rsidRPr="007A215B" w:rsidTr="007A215B">
        <w:tc>
          <w:tcPr>
            <w:tcW w:w="4240" w:type="dxa"/>
            <w:tcBorders>
              <w:top w:val="single" w:sz="6" w:space="0" w:color="000000"/>
              <w:bottom w:val="single" w:sz="12" w:space="0" w:color="000000"/>
            </w:tcBorders>
            <w:shd w:val="clear" w:color="auto" w:fill="DBE5F1"/>
            <w:vAlign w:val="center"/>
          </w:tcPr>
          <w:p w:rsidR="007A215B" w:rsidRPr="007A215B" w:rsidRDefault="007A215B" w:rsidP="007A215B">
            <w:pPr>
              <w:pStyle w:val="Tabella"/>
              <w:rPr>
                <w:b/>
                <w:color w:val="auto"/>
              </w:rPr>
            </w:pPr>
          </w:p>
        </w:tc>
        <w:tc>
          <w:tcPr>
            <w:tcW w:w="4000" w:type="dxa"/>
            <w:tcBorders>
              <w:top w:val="single" w:sz="6" w:space="0" w:color="000000"/>
              <w:bottom w:val="single" w:sz="12" w:space="0" w:color="000000"/>
            </w:tcBorders>
            <w:shd w:val="clear" w:color="auto" w:fill="DBE5F1"/>
            <w:vAlign w:val="center"/>
          </w:tcPr>
          <w:p w:rsidR="007A215B" w:rsidRPr="007A215B" w:rsidRDefault="007A215B" w:rsidP="007A215B">
            <w:pPr>
              <w:pStyle w:val="Tabella"/>
              <w:rPr>
                <w:b/>
                <w:color w:val="auto"/>
              </w:rPr>
            </w:pPr>
            <w:r w:rsidRPr="007A215B">
              <w:rPr>
                <w:b/>
                <w:color w:val="auto"/>
              </w:rPr>
              <w:t>Totale</w:t>
            </w:r>
          </w:p>
        </w:tc>
        <w:tc>
          <w:tcPr>
            <w:tcW w:w="1600" w:type="dxa"/>
            <w:tcBorders>
              <w:top w:val="single" w:sz="6" w:space="0" w:color="000000"/>
              <w:bottom w:val="single" w:sz="12" w:space="0" w:color="000000"/>
            </w:tcBorders>
            <w:shd w:val="clear" w:color="auto" w:fill="DBE5F1"/>
            <w:vAlign w:val="center"/>
          </w:tcPr>
          <w:p w:rsidR="007A215B" w:rsidRPr="007A215B" w:rsidRDefault="007A215B" w:rsidP="007A215B">
            <w:pPr>
              <w:pStyle w:val="Tabella"/>
              <w:jc w:val="right"/>
              <w:rPr>
                <w:b/>
                <w:color w:val="auto"/>
              </w:rPr>
            </w:pPr>
            <w:r w:rsidRPr="007A215B">
              <w:rPr>
                <w:b/>
                <w:color w:val="auto"/>
              </w:rPr>
              <w:t>2.993</w:t>
            </w:r>
          </w:p>
        </w:tc>
      </w:tr>
    </w:tbl>
    <w:p w:rsidR="00AB583A" w:rsidRDefault="00AB583A" w:rsidP="00AB583A"/>
    <w:p w:rsidR="00315CF2" w:rsidRPr="006E2457" w:rsidRDefault="006924C6" w:rsidP="00315CF2">
      <w:pPr>
        <w:pStyle w:val="Titolo4"/>
      </w:pPr>
      <w:r>
        <w:t>Passivo</w:t>
      </w:r>
    </w:p>
    <w:p w:rsidR="00315CF2" w:rsidRPr="006E2457" w:rsidRDefault="006924C6" w:rsidP="00315CF2">
      <w:pPr>
        <w:pStyle w:val="Titolo5"/>
      </w:pPr>
      <w:r>
        <w:t>Introduzione</w:t>
      </w:r>
    </w:p>
    <w:p w:rsidR="00315CF2" w:rsidRPr="007A215B" w:rsidRDefault="007A215B" w:rsidP="00315CF2">
      <w:r w:rsidRPr="007A215B">
        <w:t xml:space="preserve">Di seguito si analizzano nel dettaglio i movimenti delle singole voci di bilancio, ove previsto dalla normativa vigente. </w:t>
      </w:r>
    </w:p>
    <w:p w:rsidR="00315CF2" w:rsidRPr="006E2457" w:rsidRDefault="006924C6" w:rsidP="00315CF2">
      <w:pPr>
        <w:pStyle w:val="Titolo5"/>
      </w:pPr>
      <w:r>
        <w:t>A) Patrimonio netto</w:t>
      </w:r>
    </w:p>
    <w:p w:rsidR="00315CF2" w:rsidRPr="006E2457" w:rsidRDefault="006924C6" w:rsidP="00315CF2">
      <w:pPr>
        <w:pStyle w:val="Titolo6"/>
      </w:pPr>
      <w:r>
        <w:t>Movimenti delle voci di patrimonio netto</w:t>
      </w:r>
    </w:p>
    <w:p w:rsidR="00315CF2" w:rsidRPr="006E2457" w:rsidRDefault="006924C6" w:rsidP="00315CF2">
      <w:pPr>
        <w:pStyle w:val="Titolo7"/>
      </w:pPr>
      <w:r>
        <w:t>Introduzione</w:t>
      </w:r>
    </w:p>
    <w:p w:rsidR="00315CF2" w:rsidRPr="007A215B" w:rsidRDefault="007A215B" w:rsidP="00315CF2">
      <w:r w:rsidRPr="007A215B">
        <w:t xml:space="preserve">Con riferimento all'esercizio in chiusura nelle tabelle seguenti vengono esposte le movimentazioni delle singole voci del patrimonio netto. </w:t>
      </w:r>
    </w:p>
    <w:p w:rsidR="00315CF2" w:rsidRPr="006E2457" w:rsidRDefault="006924C6" w:rsidP="00315CF2">
      <w:pPr>
        <w:pStyle w:val="Titolo7"/>
      </w:pPr>
      <w:r>
        <w:t>Analisi delle movimentazioni delle voci di patrimonio netto</w:t>
      </w:r>
    </w:p>
    <w:tbl>
      <w:tblPr>
        <w:tblW w:w="0" w:type="auto"/>
        <w:tblBorders>
          <w:top w:val="single" w:sz="12" w:space="0" w:color="000000"/>
          <w:left w:val="nil"/>
          <w:bottom w:val="single" w:sz="12" w:space="0" w:color="000000"/>
          <w:right w:val="nil"/>
          <w:insideH w:val="nil"/>
          <w:insideV w:val="nil"/>
        </w:tblBorders>
        <w:shd w:val="clear" w:color="auto" w:fill="FFFFFF"/>
        <w:tblLayout w:type="fixed"/>
        <w:tblCellMar>
          <w:top w:w="40" w:type="dxa"/>
          <w:left w:w="40" w:type="dxa"/>
          <w:bottom w:w="40" w:type="dxa"/>
          <w:right w:w="40" w:type="dxa"/>
        </w:tblCellMar>
        <w:tblLook w:val="00A0" w:firstRow="1" w:lastRow="0" w:firstColumn="1" w:lastColumn="0" w:noHBand="0" w:noVBand="0"/>
      </w:tblPr>
      <w:tblGrid>
        <w:gridCol w:w="1430"/>
        <w:gridCol w:w="1430"/>
        <w:gridCol w:w="1430"/>
        <w:gridCol w:w="1430"/>
        <w:gridCol w:w="1430"/>
        <w:gridCol w:w="1430"/>
        <w:gridCol w:w="1431"/>
      </w:tblGrid>
      <w:tr w:rsidR="00E35330" w:rsidRPr="00DC764C" w:rsidTr="00E35330">
        <w:trPr>
          <w:tblHeader/>
        </w:trPr>
        <w:tc>
          <w:tcPr>
            <w:tcW w:w="1430" w:type="dxa"/>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p>
        </w:tc>
        <w:tc>
          <w:tcPr>
            <w:tcW w:w="1430" w:type="dxa"/>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Valore di inizio esercizio</w:t>
            </w:r>
          </w:p>
        </w:tc>
        <w:tc>
          <w:tcPr>
            <w:tcW w:w="1430" w:type="dxa"/>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Destinazione dell'avanzo/copertura del disavanzo dell'es. prec.</w:t>
            </w:r>
          </w:p>
        </w:tc>
        <w:tc>
          <w:tcPr>
            <w:tcW w:w="1430" w:type="dxa"/>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Altre variazioni -  Incrementi</w:t>
            </w:r>
          </w:p>
        </w:tc>
        <w:tc>
          <w:tcPr>
            <w:tcW w:w="1430" w:type="dxa"/>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Altre variazioni -  Decrementi</w:t>
            </w:r>
          </w:p>
        </w:tc>
        <w:tc>
          <w:tcPr>
            <w:tcW w:w="1430" w:type="dxa"/>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Avanzo/Disavanzo d'esercizio</w:t>
            </w:r>
          </w:p>
        </w:tc>
        <w:tc>
          <w:tcPr>
            <w:tcW w:w="1431" w:type="dxa"/>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Valore di fine esercizio</w:t>
            </w:r>
          </w:p>
        </w:tc>
      </w:tr>
      <w:tr w:rsidR="00E35330" w:rsidRPr="00DC764C" w:rsidTr="00E35330">
        <w:tc>
          <w:tcPr>
            <w:tcW w:w="1430" w:type="dxa"/>
            <w:tcBorders>
              <w:top w:val="single" w:sz="12"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Fondo di dotazione dell'ente</w:t>
            </w:r>
          </w:p>
        </w:tc>
        <w:tc>
          <w:tcPr>
            <w:tcW w:w="1430" w:type="dxa"/>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2.660</w:t>
            </w:r>
          </w:p>
        </w:tc>
        <w:tc>
          <w:tcPr>
            <w:tcW w:w="1430" w:type="dxa"/>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430" w:type="dxa"/>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27.340</w:t>
            </w:r>
          </w:p>
        </w:tc>
        <w:tc>
          <w:tcPr>
            <w:tcW w:w="1430" w:type="dxa"/>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430" w:type="dxa"/>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431" w:type="dxa"/>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30.000</w:t>
            </w:r>
          </w:p>
        </w:tc>
      </w:tr>
      <w:tr w:rsidR="00E35330" w:rsidRPr="00DC764C" w:rsidTr="00E35330">
        <w:tc>
          <w:tcPr>
            <w:tcW w:w="1430" w:type="dxa"/>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Patrimonio libero</w:t>
            </w:r>
          </w:p>
        </w:tc>
        <w:tc>
          <w:tcPr>
            <w:tcW w:w="1430" w:type="dxa"/>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p>
        </w:tc>
        <w:tc>
          <w:tcPr>
            <w:tcW w:w="1430" w:type="dxa"/>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p>
        </w:tc>
        <w:tc>
          <w:tcPr>
            <w:tcW w:w="1430" w:type="dxa"/>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p>
        </w:tc>
        <w:tc>
          <w:tcPr>
            <w:tcW w:w="1430" w:type="dxa"/>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p>
        </w:tc>
        <w:tc>
          <w:tcPr>
            <w:tcW w:w="1430" w:type="dxa"/>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p>
        </w:tc>
        <w:tc>
          <w:tcPr>
            <w:tcW w:w="1431" w:type="dxa"/>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p>
        </w:tc>
      </w:tr>
      <w:tr w:rsidR="00E35330" w:rsidRPr="00DC764C" w:rsidTr="00E35330">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Riserve di utili o avanzi di gestione</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114.422</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155.836</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270.258</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431"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Altre riserve</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913.290</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242.918</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2</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431"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1.156.206</w:t>
            </w:r>
          </w:p>
        </w:tc>
      </w:tr>
      <w:tr w:rsidR="00E35330" w:rsidRPr="00DC764C" w:rsidTr="00E35330">
        <w:tc>
          <w:tcPr>
            <w:tcW w:w="1430" w:type="dxa"/>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Totale patrimonio libero</w:t>
            </w:r>
          </w:p>
        </w:tc>
        <w:tc>
          <w:tcPr>
            <w:tcW w:w="1430" w:type="dxa"/>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1.027.712</w:t>
            </w:r>
          </w:p>
        </w:tc>
        <w:tc>
          <w:tcPr>
            <w:tcW w:w="1430" w:type="dxa"/>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155.836</w:t>
            </w:r>
          </w:p>
        </w:tc>
        <w:tc>
          <w:tcPr>
            <w:tcW w:w="1430" w:type="dxa"/>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242.918</w:t>
            </w:r>
          </w:p>
        </w:tc>
        <w:tc>
          <w:tcPr>
            <w:tcW w:w="1430" w:type="dxa"/>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270.260</w:t>
            </w:r>
          </w:p>
        </w:tc>
        <w:tc>
          <w:tcPr>
            <w:tcW w:w="1430" w:type="dxa"/>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w:t>
            </w:r>
          </w:p>
        </w:tc>
        <w:tc>
          <w:tcPr>
            <w:tcW w:w="1431" w:type="dxa"/>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1.156.206</w:t>
            </w:r>
          </w:p>
        </w:tc>
      </w:tr>
      <w:tr w:rsidR="00E35330" w:rsidRPr="00DC764C" w:rsidTr="00E35330">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Avanzo/disavanzo d'esercizio</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155.836</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(155.836)</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430"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57.932</w:t>
            </w:r>
          </w:p>
        </w:tc>
        <w:tc>
          <w:tcPr>
            <w:tcW w:w="1431" w:type="dxa"/>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57.932</w:t>
            </w:r>
          </w:p>
        </w:tc>
      </w:tr>
      <w:tr w:rsidR="00E35330" w:rsidRPr="00DC764C" w:rsidTr="00E35330">
        <w:tc>
          <w:tcPr>
            <w:tcW w:w="1430" w:type="dxa"/>
            <w:tcBorders>
              <w:top w:val="single" w:sz="6" w:space="0" w:color="000000"/>
              <w:bottom w:val="single" w:sz="12" w:space="0" w:color="000000"/>
            </w:tcBorders>
            <w:shd w:val="clear" w:color="auto" w:fill="DBE5F1"/>
            <w:vAlign w:val="center"/>
          </w:tcPr>
          <w:p w:rsidR="00E35330" w:rsidRPr="00DC764C" w:rsidRDefault="00E35330" w:rsidP="00E35330">
            <w:pPr>
              <w:pStyle w:val="Tabella"/>
              <w:rPr>
                <w:b/>
                <w:color w:val="auto"/>
              </w:rPr>
            </w:pPr>
            <w:r w:rsidRPr="00DC764C">
              <w:rPr>
                <w:b/>
                <w:color w:val="auto"/>
              </w:rPr>
              <w:t>Totale</w:t>
            </w:r>
          </w:p>
        </w:tc>
        <w:tc>
          <w:tcPr>
            <w:tcW w:w="1430" w:type="dxa"/>
            <w:tcBorders>
              <w:top w:val="single" w:sz="6" w:space="0" w:color="000000"/>
              <w:bottom w:val="single" w:sz="12"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1.186.208</w:t>
            </w:r>
          </w:p>
        </w:tc>
        <w:tc>
          <w:tcPr>
            <w:tcW w:w="1430" w:type="dxa"/>
            <w:tcBorders>
              <w:top w:val="single" w:sz="6" w:space="0" w:color="000000"/>
              <w:bottom w:val="single" w:sz="12"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w:t>
            </w:r>
          </w:p>
        </w:tc>
        <w:tc>
          <w:tcPr>
            <w:tcW w:w="1430" w:type="dxa"/>
            <w:tcBorders>
              <w:top w:val="single" w:sz="6" w:space="0" w:color="000000"/>
              <w:bottom w:val="single" w:sz="12"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270.258</w:t>
            </w:r>
          </w:p>
        </w:tc>
        <w:tc>
          <w:tcPr>
            <w:tcW w:w="1430" w:type="dxa"/>
            <w:tcBorders>
              <w:top w:val="single" w:sz="6" w:space="0" w:color="000000"/>
              <w:bottom w:val="single" w:sz="12"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270.260</w:t>
            </w:r>
          </w:p>
        </w:tc>
        <w:tc>
          <w:tcPr>
            <w:tcW w:w="1430" w:type="dxa"/>
            <w:tcBorders>
              <w:top w:val="single" w:sz="6" w:space="0" w:color="000000"/>
              <w:bottom w:val="single" w:sz="12"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57.932</w:t>
            </w:r>
          </w:p>
        </w:tc>
        <w:tc>
          <w:tcPr>
            <w:tcW w:w="1431" w:type="dxa"/>
            <w:tcBorders>
              <w:top w:val="single" w:sz="6" w:space="0" w:color="000000"/>
              <w:bottom w:val="single" w:sz="12"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1.244.138</w:t>
            </w:r>
          </w:p>
        </w:tc>
      </w:tr>
    </w:tbl>
    <w:p w:rsidR="00315CF2" w:rsidRPr="007A215B" w:rsidRDefault="00315CF2" w:rsidP="00315CF2"/>
    <w:p w:rsidR="00315CF2" w:rsidRPr="006E2457" w:rsidRDefault="006924C6" w:rsidP="00315CF2">
      <w:pPr>
        <w:pStyle w:val="Titolo7"/>
      </w:pPr>
      <w:r>
        <w:t>Commento</w:t>
      </w:r>
    </w:p>
    <w:p w:rsidR="00315CF2" w:rsidRDefault="004632BA" w:rsidP="00315CF2">
      <w:r>
        <w:t xml:space="preserve">Si evidenzia che le riclassificazioni delle riserve di avanzi di gestione sono da imputare al fatto che, in conseguenza alla trasformazione dell’associazione in Fondazione, il patrimonio netto dell’ente </w:t>
      </w:r>
      <w:r w:rsidR="00A435B7">
        <w:t xml:space="preserve">risultante dalla perizia del Dott. Andrea Stifanelli </w:t>
      </w:r>
      <w:r>
        <w:t>è stato imputato per Euro 30.000 al fondo di dotazione dell’ente e per la parte rimanente al fondo di gestione, classificato all’interno delle altre riserve.</w:t>
      </w:r>
    </w:p>
    <w:p w:rsidR="00315CF2" w:rsidRPr="006E2457" w:rsidRDefault="006924C6" w:rsidP="00315CF2">
      <w:pPr>
        <w:pStyle w:val="Titolo6"/>
      </w:pPr>
      <w:r>
        <w:t>Origine, possibilità di utilizzo, natura e durata dei vincoli delle voci di patrimonio netto</w:t>
      </w:r>
    </w:p>
    <w:p w:rsidR="00315CF2" w:rsidRPr="006E2457" w:rsidRDefault="006924C6" w:rsidP="00315CF2">
      <w:pPr>
        <w:pStyle w:val="Titolo7"/>
      </w:pPr>
      <w:r>
        <w:t>Introduzione</w:t>
      </w:r>
    </w:p>
    <w:p w:rsidR="00315CF2" w:rsidRPr="007A215B" w:rsidRDefault="007A215B" w:rsidP="00315CF2">
      <w:r w:rsidRPr="007A215B">
        <w:t xml:space="preserve">Nei seguenti prospetti sono analiticamente indicate le informazioni riguardanti l'origine, possibilità di utilizzo, natura e durata dei vincoli delle voci di patrimonio netto nonché loro utilizzazione nei precedenti esercizi. </w:t>
      </w:r>
    </w:p>
    <w:p w:rsidR="00315CF2" w:rsidRPr="006E2457" w:rsidRDefault="006924C6" w:rsidP="00315CF2">
      <w:pPr>
        <w:pStyle w:val="Titolo7"/>
      </w:pPr>
      <w:r>
        <w:t>Origine, possibilità di utilizzo, natura e durata dei vincoli delle voci di patrimonio netto</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1991"/>
        <w:gridCol w:w="1990"/>
        <w:gridCol w:w="1990"/>
        <w:gridCol w:w="1990"/>
        <w:gridCol w:w="1990"/>
      </w:tblGrid>
      <w:tr w:rsidR="00E35330" w:rsidRPr="00DC764C" w:rsidTr="00E35330">
        <w:trPr>
          <w:tblHeader/>
        </w:trPr>
        <w:tc>
          <w:tcPr>
            <w:tcW w:w="1000"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Descrizione</w:t>
            </w:r>
          </w:p>
        </w:tc>
        <w:tc>
          <w:tcPr>
            <w:tcW w:w="1000"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Importo</w:t>
            </w:r>
          </w:p>
        </w:tc>
        <w:tc>
          <w:tcPr>
            <w:tcW w:w="1000"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Origine/Natura</w:t>
            </w:r>
          </w:p>
        </w:tc>
        <w:tc>
          <w:tcPr>
            <w:tcW w:w="1000"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Possibilità di utilizzazione</w:t>
            </w:r>
          </w:p>
        </w:tc>
        <w:tc>
          <w:tcPr>
            <w:tcW w:w="1000" w:type="pct"/>
            <w:tcBorders>
              <w:top w:val="single" w:sz="12" w:space="0" w:color="000000"/>
              <w:bottom w:val="single" w:sz="12" w:space="0" w:color="000000"/>
            </w:tcBorders>
            <w:shd w:val="clear" w:color="auto" w:fill="C6D9F1"/>
            <w:vAlign w:val="center"/>
          </w:tcPr>
          <w:p w:rsidR="00E35330" w:rsidRPr="00DC764C" w:rsidRDefault="00E35330" w:rsidP="00E35330">
            <w:pPr>
              <w:pStyle w:val="Tabella"/>
              <w:jc w:val="center"/>
              <w:rPr>
                <w:b/>
              </w:rPr>
            </w:pPr>
            <w:r w:rsidRPr="00DC764C">
              <w:rPr>
                <w:b/>
              </w:rPr>
              <w:t>Quota disponibile</w:t>
            </w:r>
          </w:p>
        </w:tc>
      </w:tr>
      <w:tr w:rsidR="00E35330" w:rsidRPr="00DC764C" w:rsidTr="00E35330">
        <w:tc>
          <w:tcPr>
            <w:tcW w:w="1000" w:type="pct"/>
            <w:tcBorders>
              <w:top w:val="single" w:sz="12"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Fondo di dotazione dell'ente</w:t>
            </w:r>
          </w:p>
        </w:tc>
        <w:tc>
          <w:tcPr>
            <w:tcW w:w="1000" w:type="pct"/>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30.000</w:t>
            </w:r>
          </w:p>
        </w:tc>
        <w:tc>
          <w:tcPr>
            <w:tcW w:w="1000" w:type="pct"/>
            <w:tcBorders>
              <w:top w:val="single" w:sz="12"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Capitale</w:t>
            </w:r>
          </w:p>
        </w:tc>
        <w:tc>
          <w:tcPr>
            <w:tcW w:w="1000" w:type="pct"/>
            <w:tcBorders>
              <w:top w:val="single" w:sz="12"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B</w:t>
            </w:r>
          </w:p>
        </w:tc>
        <w:tc>
          <w:tcPr>
            <w:tcW w:w="1000" w:type="pct"/>
            <w:tcBorders>
              <w:top w:val="single" w:sz="12"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00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r w:rsidRPr="00DC764C">
              <w:rPr>
                <w:i/>
                <w:color w:val="auto"/>
              </w:rPr>
              <w:t>Fondo di dotazione dell'ente</w:t>
            </w:r>
          </w:p>
        </w:tc>
        <w:tc>
          <w:tcPr>
            <w:tcW w:w="100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p>
        </w:tc>
        <w:tc>
          <w:tcPr>
            <w:tcW w:w="100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p>
        </w:tc>
        <w:tc>
          <w:tcPr>
            <w:tcW w:w="100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rPr>
                <w:i/>
                <w:color w:val="auto"/>
              </w:rPr>
            </w:pPr>
          </w:p>
        </w:tc>
        <w:tc>
          <w:tcPr>
            <w:tcW w:w="1000" w:type="pct"/>
            <w:tcBorders>
              <w:top w:val="single" w:sz="6" w:space="0" w:color="000000"/>
              <w:bottom w:val="single" w:sz="6" w:space="0" w:color="000000"/>
            </w:tcBorders>
            <w:shd w:val="clear" w:color="auto" w:fill="F1F1F1"/>
            <w:vAlign w:val="center"/>
          </w:tcPr>
          <w:p w:rsidR="00E35330" w:rsidRPr="00DC764C" w:rsidRDefault="00E35330" w:rsidP="00E35330">
            <w:pPr>
              <w:pStyle w:val="Tabella"/>
              <w:jc w:val="right"/>
              <w:rPr>
                <w:i/>
                <w:color w:val="auto"/>
              </w:rPr>
            </w:pPr>
          </w:p>
        </w:tc>
      </w:tr>
      <w:tr w:rsidR="00E35330" w:rsidRPr="00DC764C" w:rsidTr="00E35330">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Riserve di utili o avanzi di gestione</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Capitale</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Altre riserve</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1.156.206</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Avanzi</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B</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00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Altre riserve</w:t>
            </w:r>
          </w:p>
        </w:tc>
        <w:tc>
          <w:tcPr>
            <w:tcW w:w="100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1.156.206</w:t>
            </w:r>
          </w:p>
        </w:tc>
        <w:tc>
          <w:tcPr>
            <w:tcW w:w="100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p>
        </w:tc>
        <w:tc>
          <w:tcPr>
            <w:tcW w:w="100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p>
        </w:tc>
        <w:tc>
          <w:tcPr>
            <w:tcW w:w="100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w:t>
            </w:r>
          </w:p>
        </w:tc>
      </w:tr>
      <w:tr w:rsidR="00E35330" w:rsidRPr="00DC764C" w:rsidTr="00E35330">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Avanzo/disavanzo d'esercizio</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57.932</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Avanzi</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B</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100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r w:rsidRPr="00DC764C">
              <w:rPr>
                <w:b/>
                <w:color w:val="auto"/>
              </w:rPr>
              <w:t>Totale</w:t>
            </w:r>
          </w:p>
        </w:tc>
        <w:tc>
          <w:tcPr>
            <w:tcW w:w="100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1.244.138</w:t>
            </w:r>
          </w:p>
        </w:tc>
        <w:tc>
          <w:tcPr>
            <w:tcW w:w="100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p>
        </w:tc>
        <w:tc>
          <w:tcPr>
            <w:tcW w:w="100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rPr>
                <w:b/>
                <w:color w:val="auto"/>
              </w:rPr>
            </w:pPr>
          </w:p>
        </w:tc>
        <w:tc>
          <w:tcPr>
            <w:tcW w:w="1000" w:type="pct"/>
            <w:tcBorders>
              <w:top w:val="single" w:sz="6" w:space="0" w:color="000000"/>
              <w:bottom w:val="single" w:sz="6" w:space="0" w:color="000000"/>
            </w:tcBorders>
            <w:shd w:val="clear" w:color="auto" w:fill="DBE5F1"/>
            <w:vAlign w:val="center"/>
          </w:tcPr>
          <w:p w:rsidR="00E35330" w:rsidRPr="00DC764C" w:rsidRDefault="00E35330" w:rsidP="00E35330">
            <w:pPr>
              <w:pStyle w:val="Tabella"/>
              <w:jc w:val="right"/>
              <w:rPr>
                <w:b/>
                <w:color w:val="auto"/>
              </w:rPr>
            </w:pPr>
            <w:r w:rsidRPr="00DC764C">
              <w:rPr>
                <w:b/>
                <w:color w:val="auto"/>
              </w:rPr>
              <w:t>-</w:t>
            </w:r>
          </w:p>
        </w:tc>
      </w:tr>
      <w:tr w:rsidR="00E35330" w:rsidRPr="00DC764C" w:rsidTr="00E35330">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Quota non distribuibile</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1.244.138</w:t>
            </w:r>
          </w:p>
        </w:tc>
      </w:tr>
      <w:tr w:rsidR="00E35330" w:rsidRPr="00DC764C" w:rsidTr="00E35330">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r w:rsidRPr="00DC764C">
              <w:rPr>
                <w:color w:val="auto"/>
              </w:rPr>
              <w:t>Residua quota distribuibile</w:t>
            </w: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rPr>
                <w:color w:val="auto"/>
              </w:rPr>
            </w:pPr>
          </w:p>
        </w:tc>
        <w:tc>
          <w:tcPr>
            <w:tcW w:w="1000" w:type="pct"/>
            <w:tcBorders>
              <w:top w:val="single" w:sz="6" w:space="0" w:color="000000"/>
              <w:bottom w:val="single" w:sz="6" w:space="0" w:color="000000"/>
            </w:tcBorders>
            <w:shd w:val="clear" w:color="auto" w:fill="FFFFFF"/>
            <w:vAlign w:val="center"/>
          </w:tcPr>
          <w:p w:rsidR="00E35330" w:rsidRPr="00DC764C" w:rsidRDefault="00E35330" w:rsidP="00E35330">
            <w:pPr>
              <w:pStyle w:val="Tabella"/>
              <w:jc w:val="right"/>
              <w:rPr>
                <w:color w:val="auto"/>
              </w:rPr>
            </w:pPr>
            <w:r w:rsidRPr="00DC764C">
              <w:rPr>
                <w:color w:val="auto"/>
              </w:rPr>
              <w:t>-</w:t>
            </w:r>
          </w:p>
        </w:tc>
      </w:tr>
      <w:tr w:rsidR="00E35330" w:rsidRPr="00DC764C" w:rsidTr="00E35330">
        <w:tc>
          <w:tcPr>
            <w:tcW w:w="5000" w:type="pct"/>
            <w:gridSpan w:val="5"/>
            <w:tcBorders>
              <w:top w:val="single" w:sz="6" w:space="0" w:color="000000"/>
              <w:bottom w:val="single" w:sz="12" w:space="0" w:color="000000"/>
            </w:tcBorders>
            <w:shd w:val="clear" w:color="auto" w:fill="DBDBDB"/>
            <w:vAlign w:val="center"/>
          </w:tcPr>
          <w:p w:rsidR="00E35330" w:rsidRPr="00DC764C" w:rsidRDefault="00E35330" w:rsidP="00E35330">
            <w:pPr>
              <w:pStyle w:val="Tabella"/>
              <w:jc w:val="right"/>
              <w:rPr>
                <w:b/>
                <w:color w:val="auto"/>
              </w:rPr>
            </w:pPr>
            <w:r w:rsidRPr="00DC764C">
              <w:rPr>
                <w:b/>
                <w:color w:val="auto"/>
              </w:rPr>
              <w:t>Legenda: A: per aumento di capitale; B: per copertura disavanzi; C: per distribuzione ai soci; D: per altri vincoli statutari; E: altro</w:t>
            </w:r>
          </w:p>
        </w:tc>
      </w:tr>
    </w:tbl>
    <w:p w:rsidR="00315CF2" w:rsidRPr="007A215B" w:rsidRDefault="00315CF2" w:rsidP="00315CF2"/>
    <w:p w:rsidR="00315CF2" w:rsidRPr="006E2457" w:rsidRDefault="006924C6" w:rsidP="00315CF2">
      <w:pPr>
        <w:pStyle w:val="Titolo5"/>
      </w:pPr>
      <w:r>
        <w:t>C) Trattamento di fine rapporto di lavoro subordinato</w:t>
      </w:r>
    </w:p>
    <w:p w:rsidR="00315CF2" w:rsidRPr="006E2457" w:rsidRDefault="006924C6" w:rsidP="00315CF2">
      <w:pPr>
        <w:pStyle w:val="Titolo6"/>
      </w:pPr>
      <w:r>
        <w:t>Commento</w:t>
      </w:r>
    </w:p>
    <w:p w:rsidR="007A215B" w:rsidRPr="007A215B" w:rsidRDefault="007A215B" w:rsidP="009D59EE">
      <w:r w:rsidRPr="007A215B">
        <w:t xml:space="preserve">Nella seguente tabella vengono esposte le informazioni relative alle variazioni del trattamento di fine rapporto di lavoro subordinato. </w:t>
      </w:r>
    </w:p>
    <w:p w:rsidR="007A215B" w:rsidRDefault="007A215B" w:rsidP="00315CF2"/>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3883"/>
        <w:gridCol w:w="1214"/>
        <w:gridCol w:w="1214"/>
        <w:gridCol w:w="1214"/>
        <w:gridCol w:w="1214"/>
        <w:gridCol w:w="1212"/>
      </w:tblGrid>
      <w:tr w:rsidR="007A215B" w:rsidRPr="007A215B" w:rsidTr="007A215B">
        <w:trPr>
          <w:tblHeader/>
        </w:trPr>
        <w:tc>
          <w:tcPr>
            <w:tcW w:w="1951" w:type="pct"/>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Descrizione</w:t>
            </w:r>
          </w:p>
        </w:tc>
        <w:tc>
          <w:tcPr>
            <w:tcW w:w="610" w:type="pct"/>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Consist. iniziale</w:t>
            </w:r>
          </w:p>
        </w:tc>
        <w:tc>
          <w:tcPr>
            <w:tcW w:w="610" w:type="pct"/>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Accanton.</w:t>
            </w:r>
          </w:p>
        </w:tc>
        <w:tc>
          <w:tcPr>
            <w:tcW w:w="610" w:type="pct"/>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Utilizzi</w:t>
            </w:r>
          </w:p>
        </w:tc>
        <w:tc>
          <w:tcPr>
            <w:tcW w:w="610" w:type="pct"/>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Arrotond.</w:t>
            </w:r>
          </w:p>
        </w:tc>
        <w:tc>
          <w:tcPr>
            <w:tcW w:w="610" w:type="pct"/>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Consist. finale</w:t>
            </w:r>
          </w:p>
        </w:tc>
      </w:tr>
      <w:tr w:rsidR="007A215B" w:rsidRPr="007A215B" w:rsidTr="007A215B">
        <w:tc>
          <w:tcPr>
            <w:tcW w:w="1951" w:type="pct"/>
            <w:tcBorders>
              <w:top w:val="single" w:sz="12" w:space="0" w:color="000000"/>
              <w:bottom w:val="single" w:sz="6" w:space="0" w:color="000000"/>
            </w:tcBorders>
            <w:shd w:val="clear" w:color="auto" w:fill="FFFFFF"/>
            <w:vAlign w:val="center"/>
          </w:tcPr>
          <w:p w:rsidR="007A215B" w:rsidRPr="007A215B" w:rsidRDefault="007A215B" w:rsidP="007A215B">
            <w:pPr>
              <w:pStyle w:val="Tabella"/>
              <w:rPr>
                <w:color w:val="auto"/>
              </w:rPr>
            </w:pPr>
            <w:r w:rsidRPr="007A215B">
              <w:rPr>
                <w:color w:val="auto"/>
              </w:rPr>
              <w:t>TRATTAMENTO DI FINE RAPPORTO DI LAVORO SUBORDINATO</w:t>
            </w:r>
          </w:p>
        </w:tc>
        <w:tc>
          <w:tcPr>
            <w:tcW w:w="610" w:type="pct"/>
            <w:tcBorders>
              <w:top w:val="single" w:sz="12"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26.394</w:t>
            </w:r>
          </w:p>
        </w:tc>
        <w:tc>
          <w:tcPr>
            <w:tcW w:w="610" w:type="pct"/>
            <w:tcBorders>
              <w:top w:val="single" w:sz="12"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4.453</w:t>
            </w:r>
          </w:p>
        </w:tc>
        <w:tc>
          <w:tcPr>
            <w:tcW w:w="610" w:type="pct"/>
            <w:tcBorders>
              <w:top w:val="single" w:sz="12"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w:t>
            </w:r>
          </w:p>
        </w:tc>
        <w:tc>
          <w:tcPr>
            <w:tcW w:w="610" w:type="pct"/>
            <w:tcBorders>
              <w:top w:val="single" w:sz="12"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1</w:t>
            </w:r>
          </w:p>
        </w:tc>
        <w:tc>
          <w:tcPr>
            <w:tcW w:w="610" w:type="pct"/>
            <w:tcBorders>
              <w:top w:val="single" w:sz="12"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30.848</w:t>
            </w:r>
          </w:p>
        </w:tc>
      </w:tr>
      <w:tr w:rsidR="007A215B" w:rsidRPr="007A215B" w:rsidTr="007A215B">
        <w:tc>
          <w:tcPr>
            <w:tcW w:w="1951" w:type="pct"/>
            <w:tcBorders>
              <w:top w:val="single" w:sz="6" w:space="0" w:color="000000"/>
              <w:bottom w:val="single" w:sz="12" w:space="0" w:color="000000"/>
            </w:tcBorders>
            <w:shd w:val="clear" w:color="auto" w:fill="DBE5F1"/>
            <w:vAlign w:val="center"/>
          </w:tcPr>
          <w:p w:rsidR="007A215B" w:rsidRPr="007A215B" w:rsidRDefault="007A215B" w:rsidP="007A215B">
            <w:pPr>
              <w:pStyle w:val="Tabella"/>
              <w:rPr>
                <w:b/>
                <w:color w:val="auto"/>
              </w:rPr>
            </w:pPr>
            <w:r w:rsidRPr="007A215B">
              <w:rPr>
                <w:b/>
                <w:color w:val="auto"/>
              </w:rPr>
              <w:t>Totale</w:t>
            </w:r>
          </w:p>
        </w:tc>
        <w:tc>
          <w:tcPr>
            <w:tcW w:w="610" w:type="pct"/>
            <w:tcBorders>
              <w:top w:val="single" w:sz="6" w:space="0" w:color="000000"/>
              <w:bottom w:val="single" w:sz="12" w:space="0" w:color="000000"/>
            </w:tcBorders>
            <w:shd w:val="clear" w:color="auto" w:fill="DBE5F1"/>
            <w:vAlign w:val="center"/>
          </w:tcPr>
          <w:p w:rsidR="007A215B" w:rsidRPr="007A215B" w:rsidRDefault="007A215B" w:rsidP="007A215B">
            <w:pPr>
              <w:pStyle w:val="Tabella"/>
              <w:jc w:val="right"/>
              <w:rPr>
                <w:b/>
                <w:color w:val="auto"/>
              </w:rPr>
            </w:pPr>
            <w:r w:rsidRPr="007A215B">
              <w:rPr>
                <w:b/>
                <w:color w:val="auto"/>
              </w:rPr>
              <w:t>26.394</w:t>
            </w:r>
          </w:p>
        </w:tc>
        <w:tc>
          <w:tcPr>
            <w:tcW w:w="610" w:type="pct"/>
            <w:tcBorders>
              <w:top w:val="single" w:sz="6" w:space="0" w:color="000000"/>
              <w:bottom w:val="single" w:sz="12" w:space="0" w:color="000000"/>
            </w:tcBorders>
            <w:shd w:val="clear" w:color="auto" w:fill="DBE5F1"/>
            <w:vAlign w:val="center"/>
          </w:tcPr>
          <w:p w:rsidR="007A215B" w:rsidRPr="007A215B" w:rsidRDefault="007A215B" w:rsidP="007A215B">
            <w:pPr>
              <w:pStyle w:val="Tabella"/>
              <w:jc w:val="right"/>
              <w:rPr>
                <w:b/>
                <w:color w:val="auto"/>
              </w:rPr>
            </w:pPr>
            <w:r w:rsidRPr="007A215B">
              <w:rPr>
                <w:b/>
                <w:color w:val="auto"/>
              </w:rPr>
              <w:t>4.453</w:t>
            </w:r>
          </w:p>
        </w:tc>
        <w:tc>
          <w:tcPr>
            <w:tcW w:w="610" w:type="pct"/>
            <w:tcBorders>
              <w:top w:val="single" w:sz="6" w:space="0" w:color="000000"/>
              <w:bottom w:val="single" w:sz="12" w:space="0" w:color="000000"/>
            </w:tcBorders>
            <w:shd w:val="clear" w:color="auto" w:fill="DBE5F1"/>
            <w:vAlign w:val="center"/>
          </w:tcPr>
          <w:p w:rsidR="007A215B" w:rsidRPr="007A215B" w:rsidRDefault="007A215B" w:rsidP="007A215B">
            <w:pPr>
              <w:pStyle w:val="Tabella"/>
              <w:jc w:val="right"/>
              <w:rPr>
                <w:b/>
                <w:color w:val="auto"/>
              </w:rPr>
            </w:pPr>
            <w:r w:rsidRPr="007A215B">
              <w:rPr>
                <w:b/>
                <w:color w:val="auto"/>
              </w:rPr>
              <w:t>-</w:t>
            </w:r>
          </w:p>
        </w:tc>
        <w:tc>
          <w:tcPr>
            <w:tcW w:w="610" w:type="pct"/>
            <w:tcBorders>
              <w:top w:val="single" w:sz="6" w:space="0" w:color="000000"/>
              <w:bottom w:val="single" w:sz="12" w:space="0" w:color="000000"/>
            </w:tcBorders>
            <w:shd w:val="clear" w:color="auto" w:fill="DBE5F1"/>
            <w:vAlign w:val="center"/>
          </w:tcPr>
          <w:p w:rsidR="007A215B" w:rsidRPr="007A215B" w:rsidRDefault="007A215B" w:rsidP="007A215B">
            <w:pPr>
              <w:pStyle w:val="Tabella"/>
              <w:jc w:val="right"/>
              <w:rPr>
                <w:b/>
                <w:color w:val="auto"/>
              </w:rPr>
            </w:pPr>
            <w:r w:rsidRPr="007A215B">
              <w:rPr>
                <w:b/>
                <w:color w:val="auto"/>
              </w:rPr>
              <w:t>1</w:t>
            </w:r>
          </w:p>
        </w:tc>
        <w:tc>
          <w:tcPr>
            <w:tcW w:w="610" w:type="pct"/>
            <w:tcBorders>
              <w:top w:val="single" w:sz="6" w:space="0" w:color="000000"/>
              <w:bottom w:val="single" w:sz="12" w:space="0" w:color="000000"/>
            </w:tcBorders>
            <w:shd w:val="clear" w:color="auto" w:fill="DBE5F1"/>
            <w:vAlign w:val="center"/>
          </w:tcPr>
          <w:p w:rsidR="007A215B" w:rsidRPr="007A215B" w:rsidRDefault="007A215B" w:rsidP="007A215B">
            <w:pPr>
              <w:pStyle w:val="Tabella"/>
              <w:jc w:val="right"/>
              <w:rPr>
                <w:b/>
                <w:color w:val="auto"/>
              </w:rPr>
            </w:pPr>
            <w:r w:rsidRPr="007A215B">
              <w:rPr>
                <w:b/>
                <w:color w:val="auto"/>
              </w:rPr>
              <w:t>30.848</w:t>
            </w:r>
          </w:p>
        </w:tc>
      </w:tr>
    </w:tbl>
    <w:p w:rsidR="00315CF2" w:rsidRPr="007A215B" w:rsidRDefault="00315CF2" w:rsidP="00315CF2"/>
    <w:p w:rsidR="00315CF2" w:rsidRPr="006E2457" w:rsidRDefault="006924C6" w:rsidP="00315CF2">
      <w:pPr>
        <w:pStyle w:val="Titolo5"/>
      </w:pPr>
      <w:r>
        <w:t>D) Debiti</w:t>
      </w:r>
    </w:p>
    <w:p w:rsidR="00315CF2" w:rsidRPr="006E2457" w:rsidRDefault="006924C6" w:rsidP="00315CF2">
      <w:pPr>
        <w:pStyle w:val="Titolo6"/>
      </w:pPr>
      <w:r>
        <w:t>Scadenza dei debiti</w:t>
      </w:r>
    </w:p>
    <w:p w:rsidR="00315CF2" w:rsidRPr="006E2457" w:rsidRDefault="006924C6" w:rsidP="00315CF2">
      <w:pPr>
        <w:pStyle w:val="Titolo7"/>
      </w:pPr>
      <w:r>
        <w:t>Introduzione</w:t>
      </w:r>
    </w:p>
    <w:p w:rsidR="00315CF2" w:rsidRPr="007A215B" w:rsidRDefault="007A215B" w:rsidP="00315CF2">
      <w:r w:rsidRPr="007A215B">
        <w:t xml:space="preserve">Nella seguente tabella vengono esposte le informazioni relative alla scadenza dei debiti. </w:t>
      </w:r>
    </w:p>
    <w:p w:rsidR="00315CF2" w:rsidRPr="006E2457" w:rsidRDefault="006924C6" w:rsidP="00315CF2">
      <w:pPr>
        <w:pStyle w:val="Titolo7"/>
      </w:pPr>
      <w:r>
        <w:t>Analisi della scadenza dei debiti</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6219"/>
        <w:gridCol w:w="3732"/>
      </w:tblGrid>
      <w:tr w:rsidR="00E35330" w:rsidRPr="00E35330" w:rsidTr="00E35330">
        <w:trPr>
          <w:tblHeader/>
        </w:trPr>
        <w:tc>
          <w:tcPr>
            <w:tcW w:w="3125" w:type="pct"/>
            <w:tcBorders>
              <w:top w:val="single" w:sz="12" w:space="0" w:color="000000"/>
              <w:bottom w:val="single" w:sz="12" w:space="0" w:color="000000"/>
            </w:tcBorders>
            <w:shd w:val="clear" w:color="auto" w:fill="C6D9F1"/>
            <w:vAlign w:val="center"/>
          </w:tcPr>
          <w:p w:rsidR="00E35330" w:rsidRPr="00E35330" w:rsidRDefault="00E35330" w:rsidP="00E35330">
            <w:pPr>
              <w:pStyle w:val="Tabella"/>
              <w:jc w:val="center"/>
              <w:rPr>
                <w:b/>
              </w:rPr>
            </w:pPr>
          </w:p>
        </w:tc>
        <w:tc>
          <w:tcPr>
            <w:tcW w:w="1875" w:type="pct"/>
            <w:tcBorders>
              <w:top w:val="single" w:sz="12" w:space="0" w:color="000000"/>
              <w:bottom w:val="single" w:sz="12" w:space="0" w:color="000000"/>
            </w:tcBorders>
            <w:shd w:val="clear" w:color="auto" w:fill="C6D9F1"/>
            <w:vAlign w:val="center"/>
          </w:tcPr>
          <w:p w:rsidR="00E35330" w:rsidRPr="00E35330" w:rsidRDefault="00E35330" w:rsidP="00E35330">
            <w:pPr>
              <w:pStyle w:val="Tabella"/>
              <w:jc w:val="center"/>
              <w:rPr>
                <w:b/>
              </w:rPr>
            </w:pPr>
            <w:r w:rsidRPr="00E35330">
              <w:rPr>
                <w:b/>
              </w:rPr>
              <w:t>Quota scadente entro l'esercizio</w:t>
            </w:r>
          </w:p>
        </w:tc>
      </w:tr>
      <w:tr w:rsidR="00E35330" w:rsidRPr="00E35330" w:rsidTr="00E35330">
        <w:tc>
          <w:tcPr>
            <w:tcW w:w="3125" w:type="pct"/>
            <w:tcBorders>
              <w:top w:val="single" w:sz="12" w:space="0" w:color="000000"/>
              <w:bottom w:val="single" w:sz="6" w:space="0" w:color="000000"/>
            </w:tcBorders>
            <w:shd w:val="clear" w:color="auto" w:fill="FFFFFF"/>
            <w:vAlign w:val="center"/>
          </w:tcPr>
          <w:p w:rsidR="00E35330" w:rsidRPr="00E35330" w:rsidRDefault="00E35330" w:rsidP="00E35330">
            <w:pPr>
              <w:pStyle w:val="Tabella"/>
              <w:rPr>
                <w:color w:val="auto"/>
              </w:rPr>
            </w:pPr>
            <w:r w:rsidRPr="00E35330">
              <w:rPr>
                <w:color w:val="auto"/>
              </w:rPr>
              <w:t>Debiti verso banche</w:t>
            </w:r>
          </w:p>
        </w:tc>
        <w:tc>
          <w:tcPr>
            <w:tcW w:w="1875" w:type="pct"/>
            <w:tcBorders>
              <w:top w:val="single" w:sz="12" w:space="0" w:color="000000"/>
              <w:bottom w:val="single" w:sz="6" w:space="0" w:color="000000"/>
            </w:tcBorders>
            <w:shd w:val="clear" w:color="auto" w:fill="FFFFFF"/>
            <w:vAlign w:val="center"/>
          </w:tcPr>
          <w:p w:rsidR="00E35330" w:rsidRPr="00E35330" w:rsidRDefault="00E35330" w:rsidP="00E35330">
            <w:pPr>
              <w:pStyle w:val="Tabella"/>
              <w:jc w:val="right"/>
              <w:rPr>
                <w:color w:val="auto"/>
              </w:rPr>
            </w:pPr>
            <w:r w:rsidRPr="00E35330">
              <w:rPr>
                <w:color w:val="auto"/>
              </w:rPr>
              <w:t>-</w:t>
            </w:r>
          </w:p>
        </w:tc>
      </w:tr>
      <w:tr w:rsidR="00E35330" w:rsidRPr="00E35330" w:rsidTr="00E35330">
        <w:tc>
          <w:tcPr>
            <w:tcW w:w="3125" w:type="pct"/>
            <w:tcBorders>
              <w:top w:val="single" w:sz="6" w:space="0" w:color="000000"/>
              <w:bottom w:val="single" w:sz="6" w:space="0" w:color="000000"/>
            </w:tcBorders>
            <w:shd w:val="clear" w:color="auto" w:fill="FFFFFF"/>
            <w:vAlign w:val="center"/>
          </w:tcPr>
          <w:p w:rsidR="00E35330" w:rsidRPr="00E35330" w:rsidRDefault="00E35330" w:rsidP="00E35330">
            <w:pPr>
              <w:pStyle w:val="Tabella"/>
              <w:rPr>
                <w:color w:val="auto"/>
              </w:rPr>
            </w:pPr>
            <w:r w:rsidRPr="00E35330">
              <w:rPr>
                <w:color w:val="auto"/>
              </w:rPr>
              <w:t>Debiti verso fornitori</w:t>
            </w:r>
          </w:p>
        </w:tc>
        <w:tc>
          <w:tcPr>
            <w:tcW w:w="1875" w:type="pct"/>
            <w:tcBorders>
              <w:top w:val="single" w:sz="6" w:space="0" w:color="000000"/>
              <w:bottom w:val="single" w:sz="6" w:space="0" w:color="000000"/>
            </w:tcBorders>
            <w:shd w:val="clear" w:color="auto" w:fill="FFFFFF"/>
            <w:vAlign w:val="center"/>
          </w:tcPr>
          <w:p w:rsidR="00E35330" w:rsidRPr="00E35330" w:rsidRDefault="00E35330" w:rsidP="00E35330">
            <w:pPr>
              <w:pStyle w:val="Tabella"/>
              <w:jc w:val="right"/>
              <w:rPr>
                <w:color w:val="auto"/>
              </w:rPr>
            </w:pPr>
            <w:r w:rsidRPr="00E35330">
              <w:rPr>
                <w:color w:val="auto"/>
              </w:rPr>
              <w:t>113.258</w:t>
            </w:r>
          </w:p>
        </w:tc>
      </w:tr>
      <w:tr w:rsidR="00E35330" w:rsidRPr="00E35330" w:rsidTr="00E35330">
        <w:tc>
          <w:tcPr>
            <w:tcW w:w="3125" w:type="pct"/>
            <w:tcBorders>
              <w:top w:val="single" w:sz="6" w:space="0" w:color="000000"/>
              <w:bottom w:val="single" w:sz="6" w:space="0" w:color="000000"/>
            </w:tcBorders>
            <w:shd w:val="clear" w:color="auto" w:fill="FFFFFF"/>
            <w:vAlign w:val="center"/>
          </w:tcPr>
          <w:p w:rsidR="00E35330" w:rsidRPr="00E35330" w:rsidRDefault="00E35330" w:rsidP="00E35330">
            <w:pPr>
              <w:pStyle w:val="Tabella"/>
              <w:rPr>
                <w:color w:val="auto"/>
              </w:rPr>
            </w:pPr>
            <w:r w:rsidRPr="00E35330">
              <w:rPr>
                <w:color w:val="auto"/>
              </w:rPr>
              <w:t>Debiti tributari</w:t>
            </w:r>
          </w:p>
        </w:tc>
        <w:tc>
          <w:tcPr>
            <w:tcW w:w="1875" w:type="pct"/>
            <w:tcBorders>
              <w:top w:val="single" w:sz="6" w:space="0" w:color="000000"/>
              <w:bottom w:val="single" w:sz="6" w:space="0" w:color="000000"/>
            </w:tcBorders>
            <w:shd w:val="clear" w:color="auto" w:fill="FFFFFF"/>
            <w:vAlign w:val="center"/>
          </w:tcPr>
          <w:p w:rsidR="00E35330" w:rsidRPr="00E35330" w:rsidRDefault="00E35330" w:rsidP="00E35330">
            <w:pPr>
              <w:pStyle w:val="Tabella"/>
              <w:jc w:val="right"/>
              <w:rPr>
                <w:color w:val="auto"/>
              </w:rPr>
            </w:pPr>
            <w:r w:rsidRPr="00E35330">
              <w:rPr>
                <w:color w:val="auto"/>
              </w:rPr>
              <w:t>9.738</w:t>
            </w:r>
          </w:p>
        </w:tc>
      </w:tr>
      <w:tr w:rsidR="00E35330" w:rsidRPr="00E35330" w:rsidTr="00E35330">
        <w:tc>
          <w:tcPr>
            <w:tcW w:w="3125" w:type="pct"/>
            <w:tcBorders>
              <w:top w:val="single" w:sz="6" w:space="0" w:color="000000"/>
              <w:bottom w:val="single" w:sz="6" w:space="0" w:color="000000"/>
            </w:tcBorders>
            <w:shd w:val="clear" w:color="auto" w:fill="FFFFFF"/>
            <w:vAlign w:val="center"/>
          </w:tcPr>
          <w:p w:rsidR="00E35330" w:rsidRPr="00E35330" w:rsidRDefault="00E35330" w:rsidP="00E35330">
            <w:pPr>
              <w:pStyle w:val="Tabella"/>
              <w:rPr>
                <w:color w:val="auto"/>
              </w:rPr>
            </w:pPr>
            <w:r w:rsidRPr="00E35330">
              <w:rPr>
                <w:color w:val="auto"/>
              </w:rPr>
              <w:t>Debiti verso istituti di previdenza e di sicurezza sociale</w:t>
            </w:r>
          </w:p>
        </w:tc>
        <w:tc>
          <w:tcPr>
            <w:tcW w:w="1875" w:type="pct"/>
            <w:tcBorders>
              <w:top w:val="single" w:sz="6" w:space="0" w:color="000000"/>
              <w:bottom w:val="single" w:sz="6" w:space="0" w:color="000000"/>
            </w:tcBorders>
            <w:shd w:val="clear" w:color="auto" w:fill="FFFFFF"/>
            <w:vAlign w:val="center"/>
          </w:tcPr>
          <w:p w:rsidR="00E35330" w:rsidRPr="00E35330" w:rsidRDefault="00E35330" w:rsidP="00E35330">
            <w:pPr>
              <w:pStyle w:val="Tabella"/>
              <w:jc w:val="right"/>
              <w:rPr>
                <w:color w:val="auto"/>
              </w:rPr>
            </w:pPr>
            <w:r w:rsidRPr="00E35330">
              <w:rPr>
                <w:color w:val="auto"/>
              </w:rPr>
              <w:t>4.871</w:t>
            </w:r>
          </w:p>
        </w:tc>
      </w:tr>
      <w:tr w:rsidR="00E35330" w:rsidRPr="00E35330" w:rsidTr="00E35330">
        <w:tc>
          <w:tcPr>
            <w:tcW w:w="3125" w:type="pct"/>
            <w:tcBorders>
              <w:top w:val="single" w:sz="6" w:space="0" w:color="000000"/>
              <w:bottom w:val="single" w:sz="6" w:space="0" w:color="000000"/>
            </w:tcBorders>
            <w:shd w:val="clear" w:color="auto" w:fill="FFFFFF"/>
            <w:vAlign w:val="center"/>
          </w:tcPr>
          <w:p w:rsidR="00E35330" w:rsidRPr="00E35330" w:rsidRDefault="00E35330" w:rsidP="00E35330">
            <w:pPr>
              <w:pStyle w:val="Tabella"/>
              <w:rPr>
                <w:color w:val="auto"/>
              </w:rPr>
            </w:pPr>
            <w:r w:rsidRPr="00E35330">
              <w:rPr>
                <w:color w:val="auto"/>
              </w:rPr>
              <w:t>Debiti verso dipendenti e collaboratori</w:t>
            </w:r>
          </w:p>
        </w:tc>
        <w:tc>
          <w:tcPr>
            <w:tcW w:w="1875" w:type="pct"/>
            <w:tcBorders>
              <w:top w:val="single" w:sz="6" w:space="0" w:color="000000"/>
              <w:bottom w:val="single" w:sz="6" w:space="0" w:color="000000"/>
            </w:tcBorders>
            <w:shd w:val="clear" w:color="auto" w:fill="FFFFFF"/>
            <w:vAlign w:val="center"/>
          </w:tcPr>
          <w:p w:rsidR="00E35330" w:rsidRPr="00E35330" w:rsidRDefault="00E35330" w:rsidP="00E35330">
            <w:pPr>
              <w:pStyle w:val="Tabella"/>
              <w:jc w:val="right"/>
              <w:rPr>
                <w:color w:val="auto"/>
              </w:rPr>
            </w:pPr>
            <w:r w:rsidRPr="00E35330">
              <w:rPr>
                <w:color w:val="auto"/>
              </w:rPr>
              <w:t>949</w:t>
            </w:r>
          </w:p>
        </w:tc>
      </w:tr>
      <w:tr w:rsidR="00E35330" w:rsidRPr="00E35330" w:rsidTr="00E35330">
        <w:tc>
          <w:tcPr>
            <w:tcW w:w="3125" w:type="pct"/>
            <w:tcBorders>
              <w:top w:val="single" w:sz="6" w:space="0" w:color="000000"/>
              <w:bottom w:val="single" w:sz="6" w:space="0" w:color="000000"/>
            </w:tcBorders>
            <w:shd w:val="clear" w:color="auto" w:fill="FFFFFF"/>
            <w:vAlign w:val="center"/>
          </w:tcPr>
          <w:p w:rsidR="00E35330" w:rsidRPr="00E35330" w:rsidRDefault="00E35330" w:rsidP="00E35330">
            <w:pPr>
              <w:pStyle w:val="Tabella"/>
              <w:rPr>
                <w:color w:val="auto"/>
              </w:rPr>
            </w:pPr>
            <w:r w:rsidRPr="00E35330">
              <w:rPr>
                <w:color w:val="auto"/>
              </w:rPr>
              <w:t>Altri debiti</w:t>
            </w:r>
          </w:p>
        </w:tc>
        <w:tc>
          <w:tcPr>
            <w:tcW w:w="1875" w:type="pct"/>
            <w:tcBorders>
              <w:top w:val="single" w:sz="6" w:space="0" w:color="000000"/>
              <w:bottom w:val="single" w:sz="6" w:space="0" w:color="000000"/>
            </w:tcBorders>
            <w:shd w:val="clear" w:color="auto" w:fill="FFFFFF"/>
            <w:vAlign w:val="center"/>
          </w:tcPr>
          <w:p w:rsidR="00E35330" w:rsidRPr="00E35330" w:rsidRDefault="00E35330" w:rsidP="00E35330">
            <w:pPr>
              <w:pStyle w:val="Tabella"/>
              <w:jc w:val="right"/>
              <w:rPr>
                <w:color w:val="auto"/>
              </w:rPr>
            </w:pPr>
            <w:r w:rsidRPr="00E35330">
              <w:rPr>
                <w:color w:val="auto"/>
              </w:rPr>
              <w:t>777</w:t>
            </w:r>
          </w:p>
        </w:tc>
      </w:tr>
      <w:tr w:rsidR="00E35330" w:rsidRPr="00E35330" w:rsidTr="00E35330">
        <w:tc>
          <w:tcPr>
            <w:tcW w:w="3125" w:type="pct"/>
            <w:tcBorders>
              <w:top w:val="single" w:sz="6" w:space="0" w:color="000000"/>
              <w:bottom w:val="single" w:sz="12" w:space="0" w:color="000000"/>
            </w:tcBorders>
            <w:shd w:val="clear" w:color="auto" w:fill="DBE5F1"/>
            <w:vAlign w:val="center"/>
          </w:tcPr>
          <w:p w:rsidR="00E35330" w:rsidRPr="00E35330" w:rsidRDefault="00E35330" w:rsidP="00E35330">
            <w:pPr>
              <w:pStyle w:val="Tabella"/>
              <w:rPr>
                <w:b/>
                <w:color w:val="auto"/>
              </w:rPr>
            </w:pPr>
            <w:r w:rsidRPr="00E35330">
              <w:rPr>
                <w:b/>
                <w:color w:val="auto"/>
              </w:rPr>
              <w:t>Totale</w:t>
            </w:r>
          </w:p>
        </w:tc>
        <w:tc>
          <w:tcPr>
            <w:tcW w:w="1875" w:type="pct"/>
            <w:tcBorders>
              <w:top w:val="single" w:sz="6" w:space="0" w:color="000000"/>
              <w:bottom w:val="single" w:sz="12" w:space="0" w:color="000000"/>
            </w:tcBorders>
            <w:shd w:val="clear" w:color="auto" w:fill="DBE5F1"/>
            <w:vAlign w:val="center"/>
          </w:tcPr>
          <w:p w:rsidR="00E35330" w:rsidRPr="00E35330" w:rsidRDefault="00E35330" w:rsidP="00E35330">
            <w:pPr>
              <w:pStyle w:val="Tabella"/>
              <w:jc w:val="right"/>
              <w:rPr>
                <w:b/>
                <w:color w:val="auto"/>
              </w:rPr>
            </w:pPr>
            <w:r w:rsidRPr="00E35330">
              <w:rPr>
                <w:b/>
                <w:color w:val="auto"/>
              </w:rPr>
              <w:t>129.593</w:t>
            </w:r>
          </w:p>
        </w:tc>
      </w:tr>
    </w:tbl>
    <w:p w:rsidR="00315CF2" w:rsidRPr="007A215B" w:rsidRDefault="00315CF2" w:rsidP="00315CF2"/>
    <w:p w:rsidR="00315CF2" w:rsidRPr="006E2457" w:rsidRDefault="006924C6" w:rsidP="00315CF2">
      <w:pPr>
        <w:pStyle w:val="Titolo6"/>
      </w:pPr>
      <w:r>
        <w:t>Debiti assistiti da garanzie reali su beni sociali</w:t>
      </w:r>
    </w:p>
    <w:p w:rsidR="00315CF2" w:rsidRPr="006E2457" w:rsidRDefault="006924C6" w:rsidP="00315CF2">
      <w:pPr>
        <w:pStyle w:val="Titolo7"/>
      </w:pPr>
      <w:r>
        <w:t>Introduzione</w:t>
      </w:r>
    </w:p>
    <w:p w:rsidR="00315CF2" w:rsidRPr="007A215B" w:rsidRDefault="007A215B" w:rsidP="00315CF2">
      <w:r w:rsidRPr="007A215B">
        <w:t xml:space="preserve">Non esistono debiti sociali assistiti da garanzie reali. </w:t>
      </w:r>
    </w:p>
    <w:p w:rsidR="00315CF2" w:rsidRPr="006E2457" w:rsidRDefault="006924C6" w:rsidP="00315CF2">
      <w:pPr>
        <w:pStyle w:val="Titolo5"/>
      </w:pPr>
      <w:r>
        <w:t>E) Ratei e risconti passivi</w:t>
      </w:r>
    </w:p>
    <w:p w:rsidR="00315CF2" w:rsidRPr="006E2457" w:rsidRDefault="006924C6" w:rsidP="00315CF2">
      <w:pPr>
        <w:pStyle w:val="Titolo6"/>
      </w:pPr>
      <w:r>
        <w:t>Commento</w:t>
      </w:r>
    </w:p>
    <w:p w:rsidR="00D7094C" w:rsidRDefault="007A215B" w:rsidP="00315CF2">
      <w:r w:rsidRPr="007A215B">
        <w:t xml:space="preserve">Nel seguente prospetto </w:t>
      </w:r>
      <w:r w:rsidR="004632BA">
        <w:t>è</w:t>
      </w:r>
      <w:r w:rsidRPr="007A215B">
        <w:t xml:space="preserve"> illustrata la composizione delle voci di cui in oggetto, in quanto risultanti iscritte in bilancio. </w:t>
      </w:r>
    </w:p>
    <w:p w:rsidR="004632BA" w:rsidRPr="007A215B" w:rsidRDefault="004632BA" w:rsidP="00315CF2"/>
    <w:tbl>
      <w:tblPr>
        <w:tblW w:w="9840" w:type="dxa"/>
        <w:tblInd w:w="-30" w:type="dxa"/>
        <w:tblBorders>
          <w:top w:val="single" w:sz="12" w:space="0" w:color="000000"/>
          <w:left w:val="nil"/>
          <w:bottom w:val="single" w:sz="12" w:space="0" w:color="000000"/>
          <w:right w:val="nil"/>
          <w:insideH w:val="nil"/>
          <w:insideV w:val="nil"/>
        </w:tblBorders>
        <w:shd w:val="clear" w:color="auto" w:fill="FFFFFF"/>
        <w:tblLayout w:type="fixed"/>
        <w:tblCellMar>
          <w:top w:w="40" w:type="dxa"/>
          <w:left w:w="40" w:type="dxa"/>
          <w:bottom w:w="40" w:type="dxa"/>
          <w:right w:w="40" w:type="dxa"/>
        </w:tblCellMar>
        <w:tblLook w:val="00A0" w:firstRow="1" w:lastRow="0" w:firstColumn="1" w:lastColumn="0" w:noHBand="0" w:noVBand="0"/>
      </w:tblPr>
      <w:tblGrid>
        <w:gridCol w:w="4240"/>
        <w:gridCol w:w="4000"/>
        <w:gridCol w:w="1600"/>
      </w:tblGrid>
      <w:tr w:rsidR="007A215B" w:rsidRPr="007A215B" w:rsidTr="007A215B">
        <w:trPr>
          <w:tblHeader/>
        </w:trPr>
        <w:tc>
          <w:tcPr>
            <w:tcW w:w="4240" w:type="dxa"/>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Descrizione</w:t>
            </w:r>
          </w:p>
        </w:tc>
        <w:tc>
          <w:tcPr>
            <w:tcW w:w="4000" w:type="dxa"/>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Dettaglio</w:t>
            </w:r>
          </w:p>
        </w:tc>
        <w:tc>
          <w:tcPr>
            <w:tcW w:w="1600" w:type="dxa"/>
            <w:tcBorders>
              <w:top w:val="single" w:sz="12" w:space="0" w:color="000000"/>
              <w:bottom w:val="single" w:sz="12" w:space="0" w:color="000000"/>
            </w:tcBorders>
            <w:shd w:val="clear" w:color="auto" w:fill="C6D9F1"/>
            <w:vAlign w:val="center"/>
          </w:tcPr>
          <w:p w:rsidR="007A215B" w:rsidRPr="007A215B" w:rsidRDefault="007A215B" w:rsidP="007A215B">
            <w:pPr>
              <w:pStyle w:val="Tabella"/>
              <w:jc w:val="center"/>
              <w:rPr>
                <w:b/>
              </w:rPr>
            </w:pPr>
            <w:r w:rsidRPr="007A215B">
              <w:rPr>
                <w:b/>
              </w:rPr>
              <w:t>Importo esercizio corrente</w:t>
            </w:r>
          </w:p>
        </w:tc>
      </w:tr>
      <w:tr w:rsidR="007A215B" w:rsidRPr="007A215B" w:rsidTr="007A215B">
        <w:tc>
          <w:tcPr>
            <w:tcW w:w="4240" w:type="dxa"/>
            <w:tcBorders>
              <w:top w:val="single" w:sz="12" w:space="0" w:color="000000"/>
              <w:bottom w:val="single" w:sz="6" w:space="0" w:color="000000"/>
            </w:tcBorders>
            <w:shd w:val="clear" w:color="auto" w:fill="F1F1F1"/>
            <w:vAlign w:val="center"/>
          </w:tcPr>
          <w:p w:rsidR="007A215B" w:rsidRPr="007A215B" w:rsidRDefault="007A215B" w:rsidP="007A215B">
            <w:pPr>
              <w:pStyle w:val="Tabella"/>
              <w:rPr>
                <w:i/>
                <w:color w:val="auto"/>
              </w:rPr>
            </w:pPr>
            <w:r w:rsidRPr="007A215B">
              <w:rPr>
                <w:i/>
                <w:color w:val="auto"/>
              </w:rPr>
              <w:t>RATEI E RISCONTI PASSIVI</w:t>
            </w:r>
          </w:p>
        </w:tc>
        <w:tc>
          <w:tcPr>
            <w:tcW w:w="4000" w:type="dxa"/>
            <w:tcBorders>
              <w:top w:val="single" w:sz="12" w:space="0" w:color="000000"/>
              <w:bottom w:val="single" w:sz="6" w:space="0" w:color="000000"/>
            </w:tcBorders>
            <w:shd w:val="clear" w:color="auto" w:fill="F1F1F1"/>
            <w:vAlign w:val="center"/>
          </w:tcPr>
          <w:p w:rsidR="007A215B" w:rsidRPr="007A215B" w:rsidRDefault="007A215B" w:rsidP="007A215B">
            <w:pPr>
              <w:pStyle w:val="Tabella"/>
              <w:rPr>
                <w:i/>
                <w:color w:val="auto"/>
              </w:rPr>
            </w:pPr>
          </w:p>
        </w:tc>
        <w:tc>
          <w:tcPr>
            <w:tcW w:w="1600" w:type="dxa"/>
            <w:tcBorders>
              <w:top w:val="single" w:sz="12" w:space="0" w:color="000000"/>
              <w:bottom w:val="single" w:sz="6" w:space="0" w:color="000000"/>
            </w:tcBorders>
            <w:shd w:val="clear" w:color="auto" w:fill="F1F1F1"/>
            <w:vAlign w:val="center"/>
          </w:tcPr>
          <w:p w:rsidR="007A215B" w:rsidRPr="007A215B" w:rsidRDefault="007A215B" w:rsidP="007A215B">
            <w:pPr>
              <w:pStyle w:val="Tabella"/>
              <w:jc w:val="right"/>
              <w:rPr>
                <w:i/>
                <w:color w:val="auto"/>
              </w:rPr>
            </w:pPr>
          </w:p>
        </w:tc>
      </w:tr>
      <w:tr w:rsidR="007A215B" w:rsidRPr="007A215B" w:rsidTr="007A215B">
        <w:tc>
          <w:tcPr>
            <w:tcW w:w="4240" w:type="dxa"/>
            <w:tcBorders>
              <w:top w:val="single" w:sz="6" w:space="0" w:color="000000"/>
              <w:bottom w:val="single" w:sz="6" w:space="0" w:color="000000"/>
            </w:tcBorders>
            <w:shd w:val="clear" w:color="auto" w:fill="FFFFFF"/>
            <w:vAlign w:val="center"/>
          </w:tcPr>
          <w:p w:rsidR="007A215B" w:rsidRPr="007A215B" w:rsidRDefault="007A215B" w:rsidP="007A215B">
            <w:pPr>
              <w:pStyle w:val="Tabella"/>
              <w:rPr>
                <w:color w:val="auto"/>
              </w:rPr>
            </w:pPr>
          </w:p>
        </w:tc>
        <w:tc>
          <w:tcPr>
            <w:tcW w:w="4000" w:type="dxa"/>
            <w:tcBorders>
              <w:top w:val="single" w:sz="6" w:space="0" w:color="000000"/>
              <w:bottom w:val="single" w:sz="6" w:space="0" w:color="000000"/>
            </w:tcBorders>
            <w:shd w:val="clear" w:color="auto" w:fill="FFFFFF"/>
            <w:vAlign w:val="center"/>
          </w:tcPr>
          <w:p w:rsidR="007A215B" w:rsidRPr="007A215B" w:rsidRDefault="007A215B" w:rsidP="007A215B">
            <w:pPr>
              <w:pStyle w:val="Tabella"/>
              <w:rPr>
                <w:color w:val="auto"/>
              </w:rPr>
            </w:pPr>
            <w:r w:rsidRPr="007A215B">
              <w:rPr>
                <w:color w:val="auto"/>
              </w:rPr>
              <w:t>Ratei passivi</w:t>
            </w:r>
          </w:p>
        </w:tc>
        <w:tc>
          <w:tcPr>
            <w:tcW w:w="1600" w:type="dxa"/>
            <w:tcBorders>
              <w:top w:val="single" w:sz="6" w:space="0" w:color="000000"/>
              <w:bottom w:val="single" w:sz="6" w:space="0" w:color="000000"/>
            </w:tcBorders>
            <w:shd w:val="clear" w:color="auto" w:fill="FFFFFF"/>
            <w:vAlign w:val="center"/>
          </w:tcPr>
          <w:p w:rsidR="007A215B" w:rsidRPr="007A215B" w:rsidRDefault="007A215B" w:rsidP="007A215B">
            <w:pPr>
              <w:pStyle w:val="Tabella"/>
              <w:jc w:val="right"/>
              <w:rPr>
                <w:color w:val="auto"/>
              </w:rPr>
            </w:pPr>
            <w:r w:rsidRPr="007A215B">
              <w:rPr>
                <w:color w:val="auto"/>
              </w:rPr>
              <w:t>99</w:t>
            </w:r>
          </w:p>
        </w:tc>
      </w:tr>
      <w:tr w:rsidR="007A215B" w:rsidRPr="007A215B" w:rsidTr="007A215B">
        <w:tc>
          <w:tcPr>
            <w:tcW w:w="4240" w:type="dxa"/>
            <w:tcBorders>
              <w:top w:val="single" w:sz="6" w:space="0" w:color="000000"/>
              <w:bottom w:val="single" w:sz="12" w:space="0" w:color="000000"/>
            </w:tcBorders>
            <w:shd w:val="clear" w:color="auto" w:fill="DBE5F1"/>
            <w:vAlign w:val="center"/>
          </w:tcPr>
          <w:p w:rsidR="007A215B" w:rsidRPr="007A215B" w:rsidRDefault="007A215B" w:rsidP="007A215B">
            <w:pPr>
              <w:pStyle w:val="Tabella"/>
              <w:rPr>
                <w:b/>
                <w:color w:val="auto"/>
              </w:rPr>
            </w:pPr>
          </w:p>
        </w:tc>
        <w:tc>
          <w:tcPr>
            <w:tcW w:w="4000" w:type="dxa"/>
            <w:tcBorders>
              <w:top w:val="single" w:sz="6" w:space="0" w:color="000000"/>
              <w:bottom w:val="single" w:sz="12" w:space="0" w:color="000000"/>
            </w:tcBorders>
            <w:shd w:val="clear" w:color="auto" w:fill="DBE5F1"/>
            <w:vAlign w:val="center"/>
          </w:tcPr>
          <w:p w:rsidR="007A215B" w:rsidRPr="007A215B" w:rsidRDefault="007A215B" w:rsidP="007A215B">
            <w:pPr>
              <w:pStyle w:val="Tabella"/>
              <w:rPr>
                <w:b/>
                <w:color w:val="auto"/>
              </w:rPr>
            </w:pPr>
            <w:r w:rsidRPr="007A215B">
              <w:rPr>
                <w:b/>
                <w:color w:val="auto"/>
              </w:rPr>
              <w:t>Totale</w:t>
            </w:r>
          </w:p>
        </w:tc>
        <w:tc>
          <w:tcPr>
            <w:tcW w:w="1600" w:type="dxa"/>
            <w:tcBorders>
              <w:top w:val="single" w:sz="6" w:space="0" w:color="000000"/>
              <w:bottom w:val="single" w:sz="12" w:space="0" w:color="000000"/>
            </w:tcBorders>
            <w:shd w:val="clear" w:color="auto" w:fill="DBE5F1"/>
            <w:vAlign w:val="center"/>
          </w:tcPr>
          <w:p w:rsidR="007A215B" w:rsidRPr="007A215B" w:rsidRDefault="007A215B" w:rsidP="007A215B">
            <w:pPr>
              <w:pStyle w:val="Tabella"/>
              <w:jc w:val="right"/>
              <w:rPr>
                <w:b/>
                <w:color w:val="auto"/>
              </w:rPr>
            </w:pPr>
            <w:r w:rsidRPr="007A215B">
              <w:rPr>
                <w:b/>
                <w:color w:val="auto"/>
              </w:rPr>
              <w:t>99</w:t>
            </w:r>
          </w:p>
        </w:tc>
      </w:tr>
    </w:tbl>
    <w:p w:rsidR="00315CF2" w:rsidRDefault="00315CF2" w:rsidP="00315CF2"/>
    <w:p w:rsidR="00315CF2" w:rsidRPr="006E2457" w:rsidRDefault="006924C6" w:rsidP="00315CF2">
      <w:pPr>
        <w:pStyle w:val="Titolo3"/>
      </w:pPr>
      <w:r>
        <w:t>Rendiconto gestionale</w:t>
      </w:r>
    </w:p>
    <w:p w:rsidR="00315CF2" w:rsidRPr="006E2457" w:rsidRDefault="006924C6" w:rsidP="00315CF2">
      <w:pPr>
        <w:pStyle w:val="Titolo4"/>
      </w:pPr>
      <w:r>
        <w:t>Introduzione</w:t>
      </w:r>
    </w:p>
    <w:p w:rsidR="007A215B" w:rsidRPr="007A215B" w:rsidRDefault="007A215B" w:rsidP="006457C2">
      <w:r w:rsidRPr="007A215B">
        <w:t xml:space="preserve">Il rendiconto gestionale evidenzia il risultato economico dell'esercizio. </w:t>
      </w:r>
    </w:p>
    <w:p w:rsidR="007A215B" w:rsidRPr="007A215B" w:rsidRDefault="007A215B" w:rsidP="006457C2">
      <w:r w:rsidRPr="007A215B">
        <w:t>Esso fornisce una rappresentazione delle operazioni di gestione, mediante una sintesi dei proventi e ricavi e dei costi ed oneri che hanno contribuito a determinare il risultato economico. I proventi e ricavi e i costi ed oneri, iscritti in bilancio secondo quanto previsto dal D.M. 5.3.2020, sono distinti secondo l'appartenenza alle varie aree:</w:t>
      </w:r>
    </w:p>
    <w:p w:rsidR="007A215B" w:rsidRPr="007A215B" w:rsidRDefault="007A215B" w:rsidP="006457C2">
      <w:r w:rsidRPr="007A215B">
        <w:t>A) Costi e oneri/ricavi, rendite e proventi da attività di interesse generale;</w:t>
      </w:r>
    </w:p>
    <w:p w:rsidR="007A215B" w:rsidRPr="007A215B" w:rsidRDefault="007A215B" w:rsidP="006457C2">
      <w:r w:rsidRPr="007A215B">
        <w:t>B) Costi e oneri/ricavi, rendite e proventi da attività diverse;</w:t>
      </w:r>
    </w:p>
    <w:p w:rsidR="007A215B" w:rsidRPr="007A215B" w:rsidRDefault="007A215B" w:rsidP="006457C2">
      <w:r w:rsidRPr="007A215B">
        <w:t>C) Costi e oneri/ricavi, rendite e proventi da attività di raccolte fondi;</w:t>
      </w:r>
    </w:p>
    <w:p w:rsidR="007A215B" w:rsidRPr="007A215B" w:rsidRDefault="007A215B" w:rsidP="006457C2">
      <w:r w:rsidRPr="007A215B">
        <w:t>D) Costi e oneri/ricavi, rendite e proventi da attività finanziarie e patrimoniali;</w:t>
      </w:r>
    </w:p>
    <w:p w:rsidR="007A215B" w:rsidRPr="007A215B" w:rsidRDefault="007A215B" w:rsidP="006457C2">
      <w:r w:rsidRPr="007A215B">
        <w:t>E) Costi e oneri e proventi da attività di supporto generale.</w:t>
      </w:r>
    </w:p>
    <w:p w:rsidR="007A215B" w:rsidRPr="007A215B" w:rsidRDefault="007A215B" w:rsidP="006457C2">
      <w:r w:rsidRPr="007A215B">
        <w:t xml:space="preserve">Nella presente relazione viene fornito un dettaglio più esaustivo delle aree del rendiconto gestionale, evidenziando i punti di forza e criticità anche in un’ottica comparativa. </w:t>
      </w:r>
    </w:p>
    <w:p w:rsidR="00315CF2" w:rsidRPr="007A215B" w:rsidRDefault="007A215B" w:rsidP="00315CF2">
      <w:r w:rsidRPr="007A215B">
        <w:t xml:space="preserve">Si fornisce inoltre informativa circa i criteri seguiti per la classificazione nelle diverse aree previste nel rendiconto gestionale. </w:t>
      </w:r>
    </w:p>
    <w:p w:rsidR="00315CF2" w:rsidRPr="006E2457" w:rsidRDefault="006924C6" w:rsidP="00315CF2">
      <w:pPr>
        <w:pStyle w:val="Titolo4"/>
      </w:pPr>
      <w:r>
        <w:t>A) Componenti da attività di interesse generale</w:t>
      </w:r>
    </w:p>
    <w:p w:rsidR="00315CF2" w:rsidRPr="006E2457" w:rsidRDefault="006924C6" w:rsidP="00315CF2">
      <w:pPr>
        <w:pStyle w:val="Titolo5"/>
      </w:pPr>
      <w:r>
        <w:t>Commento</w:t>
      </w:r>
    </w:p>
    <w:p w:rsidR="004632BA" w:rsidRDefault="004632BA" w:rsidP="00315CF2">
      <w:r w:rsidRPr="004632BA">
        <w:t>I "costi e oneri/ricavi, rendite e proventi da attività di interesse generale" sono componenti negativi/positivi di reddito derivanti dallo svolgimento delle attività di interesse generale di cui all'art. 5 del D. Lgs. 117/2017, indipendentemente dal fatto che queste siano state svolte con modalità non commerciali o commerciali.</w:t>
      </w:r>
      <w:r>
        <w:t xml:space="preserve"> </w:t>
      </w:r>
    </w:p>
    <w:p w:rsidR="004632BA" w:rsidRPr="004632BA" w:rsidRDefault="004632BA" w:rsidP="004632BA">
      <w:pPr>
        <w:rPr>
          <w:rFonts w:eastAsia="Times New Roman"/>
        </w:rPr>
      </w:pPr>
      <w:r w:rsidRPr="004632BA">
        <w:rPr>
          <w:rFonts w:eastAsia="Times New Roman"/>
        </w:rPr>
        <w:t>Per quanto attiene ai ricavi, questi sono principalmente costituiti da:</w:t>
      </w:r>
    </w:p>
    <w:p w:rsidR="004632BA" w:rsidRPr="004632BA" w:rsidRDefault="004632BA" w:rsidP="004632BA">
      <w:pPr>
        <w:numPr>
          <w:ilvl w:val="0"/>
          <w:numId w:val="50"/>
        </w:numPr>
        <w:rPr>
          <w:rFonts w:eastAsia="Times New Roman"/>
        </w:rPr>
      </w:pPr>
      <w:r w:rsidRPr="004632BA">
        <w:rPr>
          <w:rFonts w:eastAsia="Times New Roman"/>
        </w:rPr>
        <w:t xml:space="preserve">Erogazioni liberali monetarie di Euro </w:t>
      </w:r>
      <w:r>
        <w:rPr>
          <w:rFonts w:eastAsia="Times New Roman"/>
        </w:rPr>
        <w:t>492.001</w:t>
      </w:r>
      <w:r w:rsidRPr="004632BA">
        <w:rPr>
          <w:rFonts w:eastAsia="Times New Roman"/>
        </w:rPr>
        <w:t>;</w:t>
      </w:r>
    </w:p>
    <w:p w:rsidR="004632BA" w:rsidRPr="004632BA" w:rsidRDefault="004632BA" w:rsidP="004632BA">
      <w:pPr>
        <w:numPr>
          <w:ilvl w:val="0"/>
          <w:numId w:val="50"/>
        </w:numPr>
        <w:rPr>
          <w:rFonts w:eastAsia="Times New Roman"/>
        </w:rPr>
      </w:pPr>
      <w:r w:rsidRPr="004632BA">
        <w:rPr>
          <w:rFonts w:eastAsia="Times New Roman"/>
        </w:rPr>
        <w:t xml:space="preserve">Proventi del 5 per mille di Euro </w:t>
      </w:r>
      <w:r>
        <w:rPr>
          <w:rFonts w:eastAsia="Times New Roman"/>
        </w:rPr>
        <w:t>43.958.</w:t>
      </w:r>
    </w:p>
    <w:p w:rsidR="004632BA" w:rsidRPr="004632BA" w:rsidRDefault="004632BA" w:rsidP="00315CF2">
      <w:pPr>
        <w:rPr>
          <w:rFonts w:eastAsia="Times New Roman"/>
        </w:rPr>
      </w:pPr>
      <w:r w:rsidRPr="004632BA">
        <w:rPr>
          <w:rFonts w:eastAsia="Times New Roman"/>
        </w:rPr>
        <w:t xml:space="preserve">Per quanto attiene agli oneri e ai costi, la voce è costituita prevalentemente dai costi sostenuti </w:t>
      </w:r>
      <w:r>
        <w:rPr>
          <w:rFonts w:eastAsia="Times New Roman"/>
        </w:rPr>
        <w:t>dalla Fondazione</w:t>
      </w:r>
      <w:r w:rsidRPr="004632BA">
        <w:rPr>
          <w:rFonts w:eastAsia="Times New Roman"/>
        </w:rPr>
        <w:t xml:space="preserve"> per lo svolgimento dell’attività.</w:t>
      </w:r>
    </w:p>
    <w:p w:rsidR="004632BA" w:rsidRDefault="004632BA" w:rsidP="00315CF2"/>
    <w:p w:rsidR="00315CF2" w:rsidRPr="006E2457" w:rsidRDefault="006924C6" w:rsidP="00315CF2">
      <w:pPr>
        <w:pStyle w:val="Titolo4"/>
      </w:pPr>
      <w:r>
        <w:t>D) Componenti da attività finanziarie e patrimoniali</w:t>
      </w:r>
    </w:p>
    <w:p w:rsidR="00315CF2" w:rsidRPr="006E2457" w:rsidRDefault="006924C6" w:rsidP="00315CF2">
      <w:pPr>
        <w:pStyle w:val="Titolo5"/>
      </w:pPr>
      <w:r>
        <w:t>Commento</w:t>
      </w:r>
    </w:p>
    <w:p w:rsidR="004632BA" w:rsidRPr="004632BA" w:rsidRDefault="004632BA" w:rsidP="00FD1C50">
      <w:r w:rsidRPr="004632BA">
        <w:t>I "costi e oneri, i ricavi, rendite e proventi da attività finanziarie e patrimoniali" sono componenti negativi/positivi di reddito derivanti da operazioni aventi natura di raccolta finanziaria/generazione di profitti di natura finanziaria e di matrice patrimoniale, primariamente connessa alla gestione del patrimonio immobiliare, laddove tale attività non sia attività di interesse generale ai sensi dell'art. 5 del D.</w:t>
      </w:r>
      <w:r w:rsidR="00A435B7">
        <w:t xml:space="preserve"> </w:t>
      </w:r>
      <w:r w:rsidRPr="004632BA">
        <w:t xml:space="preserve">Lgs. 117/2017 e successive modificazioni ed integrazioni. </w:t>
      </w:r>
    </w:p>
    <w:p w:rsidR="004632BA" w:rsidRDefault="004632BA" w:rsidP="00315CF2">
      <w:r w:rsidRPr="004632BA">
        <w:t xml:space="preserve">Laddove si tratti invece di attività di interesse generale, i componenti di reddito sono imputabili nell'area A del rendiconto gestionale. </w:t>
      </w:r>
    </w:p>
    <w:p w:rsidR="00315CF2" w:rsidRDefault="004632BA" w:rsidP="00315CF2">
      <w:r w:rsidRPr="004632BA">
        <w:rPr>
          <w:rFonts w:eastAsia="Times New Roman"/>
        </w:rPr>
        <w:t>Tra i proventi da attività patrimoniali vi rientrano i ricavi derivanti dall’affitto dell’immobile</w:t>
      </w:r>
      <w:r>
        <w:rPr>
          <w:rFonts w:eastAsia="Times New Roman"/>
        </w:rPr>
        <w:t xml:space="preserve"> e la quota di competenza dell’esercizio 2025 dei proventi finanziari connessi alle immobilizzazioni finanziarie</w:t>
      </w:r>
      <w:r w:rsidRPr="004632BA">
        <w:rPr>
          <w:rFonts w:eastAsia="Times New Roman"/>
        </w:rPr>
        <w:t>; allo stesso modo, tra i costi e oneri derivanti da attività patrimoniali sono presenti le spese condominiali dell’immobile</w:t>
      </w:r>
      <w:r>
        <w:rPr>
          <w:rFonts w:eastAsia="Times New Roman"/>
        </w:rPr>
        <w:t xml:space="preserve"> e le commissioni bancarie connesse alla gestione del portafoglio titoli.</w:t>
      </w:r>
      <w:r w:rsidR="00B86D4E" w:rsidRPr="00B86D4E">
        <w:t xml:space="preserve"> </w:t>
      </w:r>
    </w:p>
    <w:p w:rsidR="00315CF2" w:rsidRPr="006E2457" w:rsidRDefault="006924C6" w:rsidP="00315CF2">
      <w:pPr>
        <w:pStyle w:val="Titolo4"/>
      </w:pPr>
      <w:r>
        <w:t>E) Componenti di supporto generale</w:t>
      </w:r>
    </w:p>
    <w:p w:rsidR="00315CF2" w:rsidRPr="006E2457" w:rsidRDefault="006924C6" w:rsidP="00315CF2">
      <w:pPr>
        <w:pStyle w:val="Titolo5"/>
      </w:pPr>
      <w:r>
        <w:t>Commento</w:t>
      </w:r>
    </w:p>
    <w:p w:rsidR="004632BA" w:rsidRDefault="007A215B" w:rsidP="00315CF2">
      <w:r w:rsidRPr="007A215B">
        <w:t>I “costi e oneri e proventi da attività di supporto generale” sono da considerarsi gli elementi positivi e negativi di reddito che non rientrano nelle altre aree.</w:t>
      </w:r>
    </w:p>
    <w:p w:rsidR="00315CF2" w:rsidRPr="007A215B" w:rsidRDefault="004632BA" w:rsidP="00315CF2">
      <w:r w:rsidRPr="004632BA">
        <w:rPr>
          <w:rFonts w:eastAsia="Times New Roman"/>
        </w:rPr>
        <w:t>Tra i costi e oneri derivanti dall’attività di supporto generale sono presenti i costi amministrativi e oneri diversi di gestione dell’associazione.</w:t>
      </w:r>
      <w:r w:rsidR="007A215B" w:rsidRPr="007A215B">
        <w:t xml:space="preserve"> </w:t>
      </w:r>
    </w:p>
    <w:p w:rsidR="00315CF2" w:rsidRPr="006E2457" w:rsidRDefault="006924C6" w:rsidP="00315CF2">
      <w:pPr>
        <w:pStyle w:val="Titolo4"/>
      </w:pPr>
      <w:r>
        <w:t>Imposte</w:t>
      </w:r>
    </w:p>
    <w:p w:rsidR="00315CF2" w:rsidRPr="006E2457" w:rsidRDefault="006924C6" w:rsidP="00315CF2">
      <w:pPr>
        <w:pStyle w:val="Titolo5"/>
      </w:pPr>
      <w:r>
        <w:t>Commento</w:t>
      </w:r>
    </w:p>
    <w:p w:rsidR="007A215B" w:rsidRPr="007A215B" w:rsidRDefault="007A215B" w:rsidP="00315CF2">
      <w:r w:rsidRPr="007A215B">
        <w:t xml:space="preserve">L'ente ha provveduto allo stanziamento delle imposte dell'esercizio sulla base dell'applicazione delle norme tributarie vigenti. Le imposte correnti si riferiscono alle imposte di competenza dell'esercizio così come risultanti dalle dichiarazioni fiscali. </w:t>
      </w:r>
    </w:p>
    <w:p w:rsidR="00E7264E" w:rsidRDefault="00E7264E" w:rsidP="00315CF2"/>
    <w:p w:rsidR="00315CF2" w:rsidRPr="006E2457" w:rsidRDefault="006924C6" w:rsidP="00315CF2">
      <w:pPr>
        <w:pStyle w:val="Titolo4"/>
      </w:pPr>
      <w:r>
        <w:t>Singoli elementi di ricavo o di costo di entità o incidenza eccezionali</w:t>
      </w:r>
    </w:p>
    <w:p w:rsidR="00315CF2" w:rsidRPr="006E2457" w:rsidRDefault="006924C6" w:rsidP="00315CF2">
      <w:pPr>
        <w:pStyle w:val="Titolo5"/>
      </w:pPr>
      <w:r>
        <w:t>Introduzione</w:t>
      </w:r>
    </w:p>
    <w:p w:rsidR="00315CF2" w:rsidRPr="007A215B" w:rsidRDefault="007A215B" w:rsidP="00315CF2">
      <w:r w:rsidRPr="007A215B">
        <w:t xml:space="preserve">Nel corso del presente esercizio non sono stati rilevati ricavi o altri componenti positivi derivanti da eventi di entità o incidenza eccezionali. </w:t>
      </w:r>
    </w:p>
    <w:p w:rsidR="00315CF2" w:rsidRPr="006E2457" w:rsidRDefault="006924C6" w:rsidP="00315CF2">
      <w:pPr>
        <w:pStyle w:val="Titolo5"/>
      </w:pPr>
      <w:r>
        <w:t>Introduzione</w:t>
      </w:r>
    </w:p>
    <w:p w:rsidR="00315CF2" w:rsidRPr="007A215B" w:rsidRDefault="007A215B" w:rsidP="00315CF2">
      <w:r w:rsidRPr="007A215B">
        <w:t xml:space="preserve">Nel corso del presente esercizio non sono stati rilevati costi derivanti da eventi di entità o incidenza eccezionali. </w:t>
      </w:r>
    </w:p>
    <w:p w:rsidR="00315CF2" w:rsidRPr="006E2457" w:rsidRDefault="006924C6" w:rsidP="00315CF2">
      <w:pPr>
        <w:pStyle w:val="Titolo3"/>
      </w:pPr>
      <w:r>
        <w:t>Altre informazioni</w:t>
      </w:r>
    </w:p>
    <w:p w:rsidR="00315CF2" w:rsidRPr="006E2457" w:rsidRDefault="006924C6" w:rsidP="00315CF2">
      <w:pPr>
        <w:pStyle w:val="Titolo4"/>
      </w:pPr>
      <w:r>
        <w:t>Introduzione</w:t>
      </w:r>
    </w:p>
    <w:p w:rsidR="00315CF2" w:rsidRPr="007A215B" w:rsidRDefault="007A215B" w:rsidP="00315CF2">
      <w:r w:rsidRPr="007A215B">
        <w:t xml:space="preserve">Nella presente sezione della relazione di missione, vengono riportate le altre informazioni richieste dal D.M. 5.3.2020. </w:t>
      </w:r>
    </w:p>
    <w:p w:rsidR="00315CF2" w:rsidRPr="006E2457" w:rsidRDefault="006924C6" w:rsidP="00315CF2">
      <w:pPr>
        <w:pStyle w:val="Titolo4"/>
      </w:pPr>
      <w:r>
        <w:t>Descrizione della natura delle erogazioni liberali ricevute</w:t>
      </w:r>
    </w:p>
    <w:p w:rsidR="00315CF2" w:rsidRPr="006E2457" w:rsidRDefault="006924C6" w:rsidP="00315CF2">
      <w:pPr>
        <w:pStyle w:val="Titolo5"/>
      </w:pPr>
      <w:r>
        <w:t>Commento</w:t>
      </w:r>
    </w:p>
    <w:p w:rsidR="007A215B" w:rsidRPr="007A215B" w:rsidRDefault="007A215B" w:rsidP="00FD00CF">
      <w:r w:rsidRPr="007A215B">
        <w:t>Le transazioni non sinallagmatiche, ossia le transazioni per le quali non è prevista una controprestazione (es. erogazioni liberali, proventi da 5 per mille, raccolta fondi, contributi ecc.), danno luogo all’iscrizione nello stato patrimoniale di attività rilevate al fair value alla data di acquisizione.</w:t>
      </w:r>
    </w:p>
    <w:p w:rsidR="00F62E16" w:rsidRPr="007A215B" w:rsidRDefault="007A215B" w:rsidP="00F62E16">
      <w:r w:rsidRPr="007A215B">
        <w:t xml:space="preserve">In contropartita all’iscrizione nello stato patrimoniale delle attività sono rilevati dei proventi nel rendiconto gestionale, classificati nella voce più appropriata nelle diverse aree. </w:t>
      </w:r>
    </w:p>
    <w:p w:rsidR="00C377DB" w:rsidRPr="007A215B" w:rsidRDefault="007A215B" w:rsidP="00F62E16">
      <w:r w:rsidRPr="007A215B">
        <w:t xml:space="preserve">Non vi sono erogazioni liberali ricevute per le quali non sia stato possibile stimare il fair value. </w:t>
      </w:r>
    </w:p>
    <w:p w:rsidR="004632BA" w:rsidRDefault="004632BA" w:rsidP="004632BA">
      <w:r w:rsidRPr="004632BA">
        <w:t>Non vi sono erogazioni liberali vincolate da terzi.</w:t>
      </w:r>
      <w:r>
        <w:t xml:space="preserve"> </w:t>
      </w:r>
    </w:p>
    <w:p w:rsidR="004632BA" w:rsidRDefault="004632BA" w:rsidP="004632BA">
      <w:r w:rsidRPr="004632BA">
        <w:t>Non vi sono erogazioni liberali vincolate da organi istituzionali.</w:t>
      </w:r>
      <w:r>
        <w:t xml:space="preserve"> </w:t>
      </w:r>
    </w:p>
    <w:p w:rsidR="004632BA" w:rsidRPr="004632BA" w:rsidRDefault="004632BA" w:rsidP="004632BA">
      <w:r w:rsidRPr="004632BA">
        <w:t xml:space="preserve">Non vi sono erogazioni liberali vincolate da terzi o da organi istituzionali. </w:t>
      </w:r>
    </w:p>
    <w:p w:rsidR="004632BA" w:rsidRDefault="004632BA" w:rsidP="00BE2EA9">
      <w:r w:rsidRPr="004632BA">
        <w:t xml:space="preserve">Non vi sono erogazioni liberali condizionate. </w:t>
      </w:r>
    </w:p>
    <w:p w:rsidR="004632BA" w:rsidRPr="004632BA" w:rsidRDefault="004632BA" w:rsidP="004632BA">
      <w:pPr>
        <w:rPr>
          <w:rFonts w:eastAsia="Times New Roman"/>
        </w:rPr>
      </w:pPr>
      <w:r w:rsidRPr="004632BA">
        <w:rPr>
          <w:rFonts w:eastAsia="Times New Roman"/>
        </w:rPr>
        <w:t>Nella voce A4 “Erogazioni liberali” sono classificate tutte le donazioni ricevute del corso 202</w:t>
      </w:r>
      <w:r>
        <w:rPr>
          <w:rFonts w:eastAsia="Times New Roman"/>
        </w:rPr>
        <w:t>5</w:t>
      </w:r>
      <w:r w:rsidRPr="004632BA">
        <w:rPr>
          <w:rFonts w:eastAsia="Times New Roman"/>
        </w:rPr>
        <w:t xml:space="preserve"> da parte di persone fisiche e soggetti giuridici per complessivi Euro </w:t>
      </w:r>
      <w:r>
        <w:rPr>
          <w:rFonts w:eastAsia="Times New Roman"/>
        </w:rPr>
        <w:t>492.001</w:t>
      </w:r>
      <w:r w:rsidRPr="004632BA">
        <w:rPr>
          <w:rFonts w:eastAsia="Times New Roman"/>
        </w:rPr>
        <w:t>.</w:t>
      </w:r>
    </w:p>
    <w:p w:rsidR="007A215B" w:rsidRPr="004632BA" w:rsidRDefault="004632BA" w:rsidP="001202C4">
      <w:pPr>
        <w:rPr>
          <w:rFonts w:eastAsia="Times New Roman"/>
        </w:rPr>
      </w:pPr>
      <w:r w:rsidRPr="004632BA">
        <w:rPr>
          <w:rFonts w:eastAsia="Times New Roman"/>
        </w:rPr>
        <w:t xml:space="preserve">Nella voce A5 “Proventi del 5 per mille” del rendiconto gestionale sono classificati i proventi assegnati per euro </w:t>
      </w:r>
      <w:r>
        <w:rPr>
          <w:rFonts w:eastAsia="Times New Roman"/>
        </w:rPr>
        <w:t>43.958</w:t>
      </w:r>
      <w:r w:rsidRPr="004632BA">
        <w:rPr>
          <w:rFonts w:eastAsia="Times New Roman"/>
        </w:rPr>
        <w:t>. L'ente provvede alla rendicontazione nei modi e nei tempi previsti dalla legge.</w:t>
      </w:r>
    </w:p>
    <w:p w:rsidR="00A457A6" w:rsidRPr="007A215B" w:rsidRDefault="007A215B" w:rsidP="00BE2EA9">
      <w:r w:rsidRPr="007A215B">
        <w:t xml:space="preserve">Non vi sono contributi pubblici in conto esercizio. </w:t>
      </w:r>
    </w:p>
    <w:p w:rsidR="00A457A6" w:rsidRPr="007A215B" w:rsidRDefault="007A215B" w:rsidP="00A457A6">
      <w:r w:rsidRPr="007A215B">
        <w:t xml:space="preserve">Non vi sono contributi pubblici in conto impianti. </w:t>
      </w:r>
    </w:p>
    <w:p w:rsidR="00315CF2" w:rsidRPr="006E2457" w:rsidRDefault="006924C6" w:rsidP="00A457A6">
      <w:pPr>
        <w:pStyle w:val="Titolo4"/>
      </w:pPr>
      <w:r>
        <w:t>Numero di dipendenti e volontari</w:t>
      </w:r>
    </w:p>
    <w:p w:rsidR="00315CF2" w:rsidRPr="006E2457" w:rsidRDefault="006924C6" w:rsidP="00315CF2">
      <w:pPr>
        <w:pStyle w:val="Titolo5"/>
      </w:pPr>
      <w:r>
        <w:t>Introduzione</w:t>
      </w:r>
    </w:p>
    <w:p w:rsidR="00315CF2" w:rsidRPr="007A215B" w:rsidRDefault="007A215B" w:rsidP="00315CF2">
      <w:r w:rsidRPr="007A215B">
        <w:t xml:space="preserve">Nel seguente prospetto sono indicati il numero medio di dipendenti ripartiti per categoria ed il numero dei volontari che svolgono la loro attività in modo non occasionale. </w:t>
      </w:r>
    </w:p>
    <w:p w:rsidR="00315CF2" w:rsidRPr="006E2457" w:rsidRDefault="006924C6" w:rsidP="00315CF2">
      <w:pPr>
        <w:pStyle w:val="Titolo5"/>
      </w:pPr>
      <w:r>
        <w:t>Numero medio di dipendenti ripartiti per categoria e numero dei volontari che svolgono la loro attività in modo non occasionale</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3317"/>
        <w:gridCol w:w="3318"/>
        <w:gridCol w:w="3316"/>
      </w:tblGrid>
      <w:tr w:rsidR="004632BA" w:rsidRPr="004632BA" w:rsidTr="004632BA">
        <w:trPr>
          <w:tblHeader/>
        </w:trPr>
        <w:tc>
          <w:tcPr>
            <w:tcW w:w="1667" w:type="pct"/>
            <w:tcBorders>
              <w:top w:val="single" w:sz="12" w:space="0" w:color="000000"/>
              <w:bottom w:val="single" w:sz="12" w:space="0" w:color="000000"/>
            </w:tcBorders>
            <w:shd w:val="clear" w:color="auto" w:fill="C6D9F1"/>
            <w:vAlign w:val="center"/>
          </w:tcPr>
          <w:p w:rsidR="004632BA" w:rsidRPr="004632BA" w:rsidRDefault="004632BA" w:rsidP="004632BA">
            <w:pPr>
              <w:pStyle w:val="Tabella"/>
              <w:jc w:val="center"/>
              <w:rPr>
                <w:b/>
              </w:rPr>
            </w:pPr>
          </w:p>
        </w:tc>
        <w:tc>
          <w:tcPr>
            <w:tcW w:w="1667" w:type="pct"/>
            <w:tcBorders>
              <w:top w:val="single" w:sz="12" w:space="0" w:color="000000"/>
              <w:bottom w:val="single" w:sz="12" w:space="0" w:color="000000"/>
            </w:tcBorders>
            <w:shd w:val="clear" w:color="auto" w:fill="C6D9F1"/>
            <w:vAlign w:val="center"/>
          </w:tcPr>
          <w:p w:rsidR="004632BA" w:rsidRPr="004632BA" w:rsidRDefault="004632BA" w:rsidP="004632BA">
            <w:pPr>
              <w:pStyle w:val="Tabella"/>
              <w:jc w:val="center"/>
              <w:rPr>
                <w:b/>
              </w:rPr>
            </w:pPr>
            <w:r w:rsidRPr="004632BA">
              <w:rPr>
                <w:b/>
              </w:rPr>
              <w:t>Impiegati</w:t>
            </w:r>
          </w:p>
        </w:tc>
        <w:tc>
          <w:tcPr>
            <w:tcW w:w="1667" w:type="pct"/>
            <w:tcBorders>
              <w:top w:val="single" w:sz="12" w:space="0" w:color="000000"/>
              <w:bottom w:val="single" w:sz="12" w:space="0" w:color="000000"/>
            </w:tcBorders>
            <w:shd w:val="clear" w:color="auto" w:fill="C6D9F1"/>
            <w:vAlign w:val="center"/>
          </w:tcPr>
          <w:p w:rsidR="004632BA" w:rsidRPr="004632BA" w:rsidRDefault="004632BA" w:rsidP="004632BA">
            <w:pPr>
              <w:pStyle w:val="Tabella"/>
              <w:jc w:val="center"/>
              <w:rPr>
                <w:b/>
              </w:rPr>
            </w:pPr>
            <w:r w:rsidRPr="004632BA">
              <w:rPr>
                <w:b/>
              </w:rPr>
              <w:t>Totale dipendenti</w:t>
            </w:r>
          </w:p>
        </w:tc>
      </w:tr>
      <w:tr w:rsidR="004632BA" w:rsidRPr="004632BA" w:rsidTr="004632BA">
        <w:tc>
          <w:tcPr>
            <w:tcW w:w="1667" w:type="pct"/>
            <w:tcBorders>
              <w:top w:val="single" w:sz="12" w:space="0" w:color="000000"/>
              <w:bottom w:val="single" w:sz="12" w:space="0" w:color="000000"/>
            </w:tcBorders>
            <w:shd w:val="clear" w:color="auto" w:fill="FFFFFF"/>
            <w:vAlign w:val="center"/>
          </w:tcPr>
          <w:p w:rsidR="004632BA" w:rsidRPr="004632BA" w:rsidRDefault="004632BA" w:rsidP="004632BA">
            <w:pPr>
              <w:pStyle w:val="Tabella"/>
              <w:rPr>
                <w:color w:val="auto"/>
              </w:rPr>
            </w:pPr>
            <w:r w:rsidRPr="004632BA">
              <w:rPr>
                <w:color w:val="auto"/>
              </w:rPr>
              <w:t>Numero medio</w:t>
            </w:r>
          </w:p>
        </w:tc>
        <w:tc>
          <w:tcPr>
            <w:tcW w:w="1667" w:type="pct"/>
            <w:tcBorders>
              <w:top w:val="single" w:sz="12" w:space="0" w:color="000000"/>
              <w:bottom w:val="single" w:sz="12" w:space="0" w:color="000000"/>
            </w:tcBorders>
            <w:shd w:val="clear" w:color="auto" w:fill="FFFFFF"/>
            <w:vAlign w:val="center"/>
          </w:tcPr>
          <w:p w:rsidR="004632BA" w:rsidRPr="004632BA" w:rsidRDefault="004632BA" w:rsidP="004632BA">
            <w:pPr>
              <w:pStyle w:val="Tabella"/>
              <w:jc w:val="right"/>
              <w:rPr>
                <w:color w:val="auto"/>
              </w:rPr>
            </w:pPr>
            <w:r w:rsidRPr="004632BA">
              <w:rPr>
                <w:color w:val="auto"/>
              </w:rPr>
              <w:t>2</w:t>
            </w:r>
          </w:p>
        </w:tc>
        <w:tc>
          <w:tcPr>
            <w:tcW w:w="1667" w:type="pct"/>
            <w:tcBorders>
              <w:top w:val="single" w:sz="12" w:space="0" w:color="000000"/>
              <w:bottom w:val="single" w:sz="12" w:space="0" w:color="000000"/>
            </w:tcBorders>
            <w:shd w:val="clear" w:color="auto" w:fill="FFFFFF"/>
            <w:vAlign w:val="center"/>
          </w:tcPr>
          <w:p w:rsidR="004632BA" w:rsidRPr="004632BA" w:rsidRDefault="004632BA" w:rsidP="004632BA">
            <w:pPr>
              <w:pStyle w:val="Tabella"/>
              <w:jc w:val="right"/>
              <w:rPr>
                <w:color w:val="auto"/>
              </w:rPr>
            </w:pPr>
            <w:r w:rsidRPr="004632BA">
              <w:rPr>
                <w:color w:val="auto"/>
              </w:rPr>
              <w:t>2</w:t>
            </w:r>
          </w:p>
        </w:tc>
      </w:tr>
    </w:tbl>
    <w:p w:rsidR="00315CF2" w:rsidRPr="007A215B" w:rsidRDefault="00315CF2" w:rsidP="007A215B"/>
    <w:p w:rsidR="00315CF2" w:rsidRPr="006E2457" w:rsidRDefault="006924C6" w:rsidP="00315CF2">
      <w:pPr>
        <w:pStyle w:val="Titolo4"/>
      </w:pPr>
      <w:r>
        <w:t>Compensi all'organo esecutivo, all'organo di controllo e al soggetto incaricato della revisione legale</w:t>
      </w:r>
    </w:p>
    <w:p w:rsidR="00315CF2" w:rsidRPr="006E2457" w:rsidRDefault="006924C6" w:rsidP="00315CF2">
      <w:pPr>
        <w:pStyle w:val="Titolo5"/>
      </w:pPr>
      <w:r>
        <w:t>Introduzione</w:t>
      </w:r>
    </w:p>
    <w:p w:rsidR="00315CF2" w:rsidRPr="007A215B" w:rsidRDefault="007A215B" w:rsidP="00315CF2">
      <w:r w:rsidRPr="007A215B">
        <w:t xml:space="preserve">Nel seguente prospetto sono esposte le informazioni richieste dal punto 14 dell'allegato C al D.M. 5.3.2020. </w:t>
      </w:r>
    </w:p>
    <w:p w:rsidR="00315CF2" w:rsidRPr="006E2457" w:rsidRDefault="006924C6" w:rsidP="00315CF2">
      <w:pPr>
        <w:pStyle w:val="Titolo5"/>
      </w:pPr>
      <w:r>
        <w:t>Importo dei compensi spettanti all'organo esecutivo, all'organo di controllo, nonché al soggetto incaricato della revisione legale</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3317"/>
        <w:gridCol w:w="3318"/>
        <w:gridCol w:w="3316"/>
      </w:tblGrid>
      <w:tr w:rsidR="004632BA" w:rsidRPr="004632BA" w:rsidTr="004632BA">
        <w:trPr>
          <w:tblHeader/>
        </w:trPr>
        <w:tc>
          <w:tcPr>
            <w:tcW w:w="1667" w:type="pct"/>
            <w:tcBorders>
              <w:top w:val="single" w:sz="12" w:space="0" w:color="000000"/>
              <w:bottom w:val="single" w:sz="12" w:space="0" w:color="000000"/>
            </w:tcBorders>
            <w:shd w:val="clear" w:color="auto" w:fill="C6D9F1"/>
            <w:vAlign w:val="center"/>
          </w:tcPr>
          <w:p w:rsidR="004632BA" w:rsidRPr="004632BA" w:rsidRDefault="004632BA" w:rsidP="004632BA">
            <w:pPr>
              <w:pStyle w:val="Tabella"/>
              <w:jc w:val="center"/>
              <w:rPr>
                <w:b/>
              </w:rPr>
            </w:pPr>
          </w:p>
        </w:tc>
        <w:tc>
          <w:tcPr>
            <w:tcW w:w="1667" w:type="pct"/>
            <w:tcBorders>
              <w:top w:val="single" w:sz="12" w:space="0" w:color="000000"/>
              <w:bottom w:val="single" w:sz="12" w:space="0" w:color="000000"/>
            </w:tcBorders>
            <w:shd w:val="clear" w:color="auto" w:fill="C6D9F1"/>
            <w:vAlign w:val="center"/>
          </w:tcPr>
          <w:p w:rsidR="004632BA" w:rsidRPr="004632BA" w:rsidRDefault="004632BA" w:rsidP="004632BA">
            <w:pPr>
              <w:pStyle w:val="Tabella"/>
              <w:jc w:val="center"/>
              <w:rPr>
                <w:b/>
              </w:rPr>
            </w:pPr>
            <w:r w:rsidRPr="004632BA">
              <w:rPr>
                <w:b/>
              </w:rPr>
              <w:t>Organo esecutivo</w:t>
            </w:r>
          </w:p>
        </w:tc>
        <w:tc>
          <w:tcPr>
            <w:tcW w:w="1667" w:type="pct"/>
            <w:tcBorders>
              <w:top w:val="single" w:sz="12" w:space="0" w:color="000000"/>
              <w:bottom w:val="single" w:sz="12" w:space="0" w:color="000000"/>
            </w:tcBorders>
            <w:shd w:val="clear" w:color="auto" w:fill="C6D9F1"/>
            <w:vAlign w:val="center"/>
          </w:tcPr>
          <w:p w:rsidR="004632BA" w:rsidRPr="004632BA" w:rsidRDefault="004632BA" w:rsidP="004632BA">
            <w:pPr>
              <w:pStyle w:val="Tabella"/>
              <w:jc w:val="center"/>
              <w:rPr>
                <w:b/>
              </w:rPr>
            </w:pPr>
            <w:r w:rsidRPr="004632BA">
              <w:rPr>
                <w:b/>
              </w:rPr>
              <w:t>Organo di controllo</w:t>
            </w:r>
          </w:p>
        </w:tc>
      </w:tr>
      <w:tr w:rsidR="004632BA" w:rsidRPr="004632BA" w:rsidTr="004632BA">
        <w:tc>
          <w:tcPr>
            <w:tcW w:w="1667" w:type="pct"/>
            <w:tcBorders>
              <w:top w:val="single" w:sz="12" w:space="0" w:color="000000"/>
              <w:bottom w:val="single" w:sz="12" w:space="0" w:color="000000"/>
            </w:tcBorders>
            <w:shd w:val="clear" w:color="auto" w:fill="FFFFFF"/>
            <w:vAlign w:val="center"/>
          </w:tcPr>
          <w:p w:rsidR="004632BA" w:rsidRPr="004632BA" w:rsidRDefault="004632BA" w:rsidP="004632BA">
            <w:pPr>
              <w:pStyle w:val="Tabella"/>
              <w:rPr>
                <w:color w:val="auto"/>
              </w:rPr>
            </w:pPr>
            <w:r w:rsidRPr="004632BA">
              <w:rPr>
                <w:color w:val="auto"/>
              </w:rPr>
              <w:t>Compensi</w:t>
            </w:r>
          </w:p>
        </w:tc>
        <w:tc>
          <w:tcPr>
            <w:tcW w:w="1667" w:type="pct"/>
            <w:tcBorders>
              <w:top w:val="single" w:sz="12" w:space="0" w:color="000000"/>
              <w:bottom w:val="single" w:sz="12" w:space="0" w:color="000000"/>
            </w:tcBorders>
            <w:shd w:val="clear" w:color="auto" w:fill="FFFFFF"/>
            <w:vAlign w:val="center"/>
          </w:tcPr>
          <w:p w:rsidR="004632BA" w:rsidRPr="004632BA" w:rsidRDefault="004632BA" w:rsidP="004632BA">
            <w:pPr>
              <w:pStyle w:val="Tabella"/>
              <w:jc w:val="right"/>
              <w:rPr>
                <w:color w:val="auto"/>
              </w:rPr>
            </w:pPr>
            <w:r w:rsidRPr="004632BA">
              <w:rPr>
                <w:color w:val="auto"/>
              </w:rPr>
              <w:t>103.135</w:t>
            </w:r>
          </w:p>
        </w:tc>
        <w:tc>
          <w:tcPr>
            <w:tcW w:w="1667" w:type="pct"/>
            <w:tcBorders>
              <w:top w:val="single" w:sz="12" w:space="0" w:color="000000"/>
              <w:bottom w:val="single" w:sz="12" w:space="0" w:color="000000"/>
            </w:tcBorders>
            <w:shd w:val="clear" w:color="auto" w:fill="FFFFFF"/>
            <w:vAlign w:val="center"/>
          </w:tcPr>
          <w:p w:rsidR="004632BA" w:rsidRPr="004632BA" w:rsidRDefault="004632BA" w:rsidP="004632BA">
            <w:pPr>
              <w:pStyle w:val="Tabella"/>
              <w:jc w:val="right"/>
              <w:rPr>
                <w:color w:val="auto"/>
              </w:rPr>
            </w:pPr>
            <w:r w:rsidRPr="004632BA">
              <w:rPr>
                <w:color w:val="auto"/>
              </w:rPr>
              <w:t>5.558</w:t>
            </w:r>
          </w:p>
        </w:tc>
      </w:tr>
    </w:tbl>
    <w:p w:rsidR="00315CF2" w:rsidRPr="007A215B" w:rsidRDefault="00315CF2" w:rsidP="007A215B"/>
    <w:p w:rsidR="00315CF2" w:rsidRPr="006E2457" w:rsidRDefault="006924C6" w:rsidP="00315CF2">
      <w:pPr>
        <w:pStyle w:val="Titolo5"/>
      </w:pPr>
      <w:r>
        <w:t>Commento</w:t>
      </w:r>
    </w:p>
    <w:p w:rsidR="004632BA" w:rsidRDefault="004632BA" w:rsidP="00315CF2">
      <w:r>
        <w:t>Si evidenzia che il compenso spettante all’organo amministrativo sopra riportato è esposta al netto dei contributi previdenziali a carico della Fondazione.</w:t>
      </w:r>
    </w:p>
    <w:p w:rsidR="00315CF2" w:rsidRDefault="004632BA" w:rsidP="00315CF2">
      <w:r>
        <w:t>Per quanto attiene al compenso dell’Organo di Controllo, si specifica che l’importo di Euro 5.558 è comprensivo dell’IVA indetraibile per la Fondazione</w:t>
      </w:r>
      <w:r w:rsidR="00A435B7">
        <w:t>. Si evidenzia che a</w:t>
      </w:r>
      <w:r>
        <w:t xml:space="preserve">ll’atto di trasformazione dell’associazione in Fondazione all’Organo di Controllo </w:t>
      </w:r>
      <w:r w:rsidR="00A435B7">
        <w:t xml:space="preserve">monocratico </w:t>
      </w:r>
      <w:r>
        <w:t xml:space="preserve">è stato riconosciuto un compenso annuo di Euro 5.000, di cui Euro 3.000 per l’attività di revisione legale dei conti. </w:t>
      </w:r>
    </w:p>
    <w:p w:rsidR="00315CF2" w:rsidRPr="006E2457" w:rsidRDefault="006924C6" w:rsidP="00315CF2">
      <w:pPr>
        <w:pStyle w:val="Titolo4"/>
      </w:pPr>
      <w:r>
        <w:t>Prospetto degli elementi patrimoniali e finanziari e delle componenti economiche inerenti i patrimoni destinati ad uno specifico affare</w:t>
      </w:r>
    </w:p>
    <w:p w:rsidR="00315CF2" w:rsidRPr="006E2457" w:rsidRDefault="006924C6" w:rsidP="00315CF2">
      <w:pPr>
        <w:pStyle w:val="Titolo5"/>
      </w:pPr>
      <w:r>
        <w:t>Commento</w:t>
      </w:r>
    </w:p>
    <w:p w:rsidR="00315CF2" w:rsidRPr="007A215B" w:rsidRDefault="007A215B" w:rsidP="00315CF2">
      <w:r w:rsidRPr="007A215B">
        <w:t xml:space="preserve">Si attesta che alla data di chiusura del bilancio non sussistono patrimoni destinati ad uno specifico affare di cui all'art. 10 del D.Lgs. 117/2017. </w:t>
      </w:r>
    </w:p>
    <w:p w:rsidR="00315CF2" w:rsidRPr="006E2457" w:rsidRDefault="006924C6" w:rsidP="00315CF2">
      <w:pPr>
        <w:pStyle w:val="Titolo4"/>
      </w:pPr>
      <w:r>
        <w:t>Operazioni realizzate con parti correlate</w:t>
      </w:r>
    </w:p>
    <w:p w:rsidR="00315CF2" w:rsidRPr="006E2457" w:rsidRDefault="006924C6" w:rsidP="00315CF2">
      <w:pPr>
        <w:pStyle w:val="Titolo5"/>
      </w:pPr>
      <w:r>
        <w:t>Commento</w:t>
      </w:r>
    </w:p>
    <w:p w:rsidR="00315CF2" w:rsidRPr="007A215B" w:rsidRDefault="007A215B" w:rsidP="00315CF2">
      <w:r w:rsidRPr="007A215B">
        <w:t xml:space="preserve">Ai fini di quanto disposto dalla normativa vigente, nel corso dell’esercizio non sono state effettuate operazioni con parti correlate. </w:t>
      </w:r>
    </w:p>
    <w:p w:rsidR="00315CF2" w:rsidRPr="006E2457" w:rsidRDefault="006924C6" w:rsidP="00315CF2">
      <w:pPr>
        <w:pStyle w:val="Titolo4"/>
      </w:pPr>
      <w:r>
        <w:t>Proposta di destinazione dell'avanzo o di copertura del disavanzo</w:t>
      </w:r>
    </w:p>
    <w:p w:rsidR="00315CF2" w:rsidRPr="006E2457" w:rsidRDefault="006924C6" w:rsidP="00315CF2">
      <w:pPr>
        <w:pStyle w:val="Titolo5"/>
      </w:pPr>
      <w:r>
        <w:t>Commento</w:t>
      </w:r>
    </w:p>
    <w:p w:rsidR="005F6B3D" w:rsidRPr="007A215B" w:rsidRDefault="007A215B" w:rsidP="004632BA">
      <w:r w:rsidRPr="007A215B">
        <w:t>Signori Associati, alla luce di quanto sopra esposto, l'Organo Amministrativo Vi propone di destinare l'avanzo d'esercizio</w:t>
      </w:r>
      <w:r w:rsidR="004632BA">
        <w:t xml:space="preserve"> di Euro </w:t>
      </w:r>
      <w:r w:rsidR="00E35330">
        <w:t>57.932</w:t>
      </w:r>
      <w:r w:rsidR="004632BA">
        <w:t xml:space="preserve"> </w:t>
      </w:r>
      <w:r w:rsidRPr="007A215B">
        <w:t xml:space="preserve">alle altre riserve, nel patrimonio libero. </w:t>
      </w:r>
    </w:p>
    <w:p w:rsidR="005F6B3D" w:rsidRDefault="005F6B3D" w:rsidP="005F6B3D"/>
    <w:p w:rsidR="00315CF2" w:rsidRPr="006E2457" w:rsidRDefault="006924C6" w:rsidP="00530D7C">
      <w:pPr>
        <w:pStyle w:val="Titolo4"/>
      </w:pPr>
      <w:r>
        <w:t>Differenza retributiva tra lavoratori dipendenti</w:t>
      </w:r>
    </w:p>
    <w:p w:rsidR="00315CF2" w:rsidRPr="006E2457" w:rsidRDefault="006924C6" w:rsidP="00315CF2">
      <w:pPr>
        <w:pStyle w:val="Titolo5"/>
      </w:pPr>
      <w:r>
        <w:t>Commento</w:t>
      </w:r>
    </w:p>
    <w:p w:rsidR="00613A94" w:rsidRPr="007A215B" w:rsidRDefault="007A215B" w:rsidP="00613A94">
      <w:r w:rsidRPr="007A215B">
        <w:t xml:space="preserve">L'ente si avvale di personale dipendente. L'informativa sulla differenza retributiva tra lavoratori dipendenti, per finalità di verifica del rapporto uno a otto, di cui all’art. 16 del D.Lgs. 117/2017 e s.m.i. è resa nel bilancio sociale dell’ente. </w:t>
      </w:r>
    </w:p>
    <w:p w:rsidR="00315CF2" w:rsidRPr="006E2457" w:rsidRDefault="006924C6" w:rsidP="00613A94">
      <w:pPr>
        <w:pStyle w:val="Titolo4"/>
      </w:pPr>
      <w:r>
        <w:t>Descrizione e rendiconto specifico dell'attività di raccolta fondi</w:t>
      </w:r>
    </w:p>
    <w:p w:rsidR="00315CF2" w:rsidRPr="006E2457" w:rsidRDefault="006924C6" w:rsidP="00315CF2">
      <w:pPr>
        <w:pStyle w:val="Titolo5"/>
      </w:pPr>
      <w:r>
        <w:t>Commento</w:t>
      </w:r>
    </w:p>
    <w:p w:rsidR="00613A94" w:rsidRPr="007A215B" w:rsidRDefault="007A215B" w:rsidP="00613A94">
      <w:r w:rsidRPr="007A215B">
        <w:t xml:space="preserve">L'ente non ha svolto attività di raccolta fondi. </w:t>
      </w:r>
    </w:p>
    <w:p w:rsidR="00315CF2" w:rsidRPr="006E2457" w:rsidRDefault="006924C6" w:rsidP="00315CF2">
      <w:pPr>
        <w:pStyle w:val="Titolo2"/>
      </w:pPr>
      <w:r>
        <w:t>Illustrazione dell'andamento economico e finanziario dell'ente e delle modalità di perseguimento delle finalità statutarie</w:t>
      </w:r>
    </w:p>
    <w:p w:rsidR="00315CF2" w:rsidRPr="006E2457" w:rsidRDefault="006924C6" w:rsidP="00315CF2">
      <w:pPr>
        <w:pStyle w:val="Titolo3"/>
      </w:pPr>
      <w:r>
        <w:t>Illustrazione della situazione dell'ente e dell'andamento della gestione</w:t>
      </w:r>
    </w:p>
    <w:p w:rsidR="00315CF2" w:rsidRPr="006E2457" w:rsidRDefault="006924C6" w:rsidP="00315CF2">
      <w:pPr>
        <w:pStyle w:val="Titolo4"/>
      </w:pPr>
      <w:r>
        <w:t>Commento</w:t>
      </w:r>
    </w:p>
    <w:p w:rsidR="004632BA" w:rsidRPr="004632BA" w:rsidRDefault="004632BA" w:rsidP="004632BA">
      <w:pPr>
        <w:rPr>
          <w:rFonts w:eastAsia="Times New Roman"/>
        </w:rPr>
      </w:pPr>
      <w:r w:rsidRPr="004632BA">
        <w:rPr>
          <w:rFonts w:eastAsia="Times New Roman"/>
        </w:rPr>
        <w:t>Il presente bilancio dell'esercizio chiuso al 31/12/202</w:t>
      </w:r>
      <w:r>
        <w:rPr>
          <w:rFonts w:eastAsia="Times New Roman"/>
        </w:rPr>
        <w:t>5</w:t>
      </w:r>
      <w:r w:rsidRPr="004632BA">
        <w:rPr>
          <w:rFonts w:eastAsia="Times New Roman"/>
        </w:rPr>
        <w:t xml:space="preserve"> evidenzia un risultato di esercizio di </w:t>
      </w:r>
      <w:r w:rsidR="00E35330">
        <w:rPr>
          <w:rFonts w:eastAsia="Times New Roman"/>
        </w:rPr>
        <w:t>E</w:t>
      </w:r>
      <w:r w:rsidRPr="004632BA">
        <w:rPr>
          <w:rFonts w:eastAsia="Times New Roman"/>
        </w:rPr>
        <w:t xml:space="preserve">uro </w:t>
      </w:r>
      <w:r w:rsidR="00E35330">
        <w:rPr>
          <w:rFonts w:eastAsia="Times New Roman"/>
        </w:rPr>
        <w:t>57.932</w:t>
      </w:r>
      <w:r w:rsidRPr="004632BA">
        <w:rPr>
          <w:rFonts w:eastAsia="Times New Roman"/>
        </w:rPr>
        <w:t>.</w:t>
      </w:r>
    </w:p>
    <w:p w:rsidR="004632BA" w:rsidRPr="007A215B" w:rsidRDefault="004632BA" w:rsidP="004632BA">
      <w:r w:rsidRPr="004632BA">
        <w:rPr>
          <w:rFonts w:eastAsia="Times New Roman"/>
        </w:rPr>
        <w:t>L'esercizio di riferimento del bilancio è stato caratterizzato dalle attività descritte nella precedente sezione della Relazione di Missione.</w:t>
      </w:r>
    </w:p>
    <w:p w:rsidR="0046325B" w:rsidRPr="006E2457" w:rsidRDefault="006924C6" w:rsidP="0046325B">
      <w:pPr>
        <w:pStyle w:val="Titolo5"/>
      </w:pPr>
      <w:r>
        <w:t>Esame dei rapporti sinergici con altri enti e con la rete associativa di cui l'organizzazione fa parte</w:t>
      </w:r>
    </w:p>
    <w:p w:rsidR="00A21414" w:rsidRPr="007A215B" w:rsidRDefault="004632BA" w:rsidP="00A21414">
      <w:r w:rsidRPr="004632BA">
        <w:rPr>
          <w:rFonts w:eastAsia="Times New Roman"/>
        </w:rPr>
        <w:t>L'ente non tiene rapporti sinergici con altri enti e non fa parte di nessuna rete associativa.</w:t>
      </w:r>
    </w:p>
    <w:p w:rsidR="00315CF2" w:rsidRPr="006E2457" w:rsidRDefault="006924C6" w:rsidP="00A21414">
      <w:pPr>
        <w:pStyle w:val="Titolo3"/>
      </w:pPr>
      <w:r>
        <w:t>Evoluzione prevedibile della gestione e previsioni di mantenimento degli equilibri economici e finanziari</w:t>
      </w:r>
    </w:p>
    <w:p w:rsidR="00315CF2" w:rsidRPr="006E2457" w:rsidRDefault="006924C6" w:rsidP="00315CF2">
      <w:pPr>
        <w:pStyle w:val="Titolo4"/>
      </w:pPr>
      <w:r>
        <w:t>Commento</w:t>
      </w:r>
    </w:p>
    <w:p w:rsidR="00C64EE4" w:rsidRDefault="004632BA" w:rsidP="00C64EE4">
      <w:r w:rsidRPr="004632BA">
        <w:rPr>
          <w:rFonts w:eastAsia="Times New Roman"/>
        </w:rPr>
        <w:t>L’Organo Amministrativo ha verificato la sussistenza del postulato della "continuità aziendale", effettuando una valutazione prospettica della capacità dell’ente di continuare a svolgere la propria attività per un prevedibile arco temporale futuro, relativo a un periodo di almeno dodici mesi dalla data di riferimento del bilancio.</w:t>
      </w:r>
    </w:p>
    <w:p w:rsidR="00315CF2" w:rsidRPr="006E2457" w:rsidRDefault="006924C6" w:rsidP="00C64EE4">
      <w:pPr>
        <w:pStyle w:val="Titolo3"/>
      </w:pPr>
      <w:r>
        <w:t>Indicazione delle modalità di perseguimento delle finalità statutarie</w:t>
      </w:r>
    </w:p>
    <w:p w:rsidR="00315CF2" w:rsidRPr="006E2457" w:rsidRDefault="006924C6" w:rsidP="00315CF2">
      <w:pPr>
        <w:pStyle w:val="Titolo4"/>
      </w:pPr>
      <w:r>
        <w:t>Commento</w:t>
      </w:r>
    </w:p>
    <w:p w:rsidR="00315CF2" w:rsidRPr="007A215B" w:rsidRDefault="007A215B" w:rsidP="00315CF2">
      <w:r w:rsidRPr="007A215B">
        <w:t xml:space="preserve">In relazione alla necessità di indicare le modalità di svolgimento delle finalità statutarie, </w:t>
      </w:r>
      <w:r w:rsidR="004632BA" w:rsidRPr="0060096A">
        <w:t>si specifica</w:t>
      </w:r>
      <w:r w:rsidR="004632BA">
        <w:t xml:space="preserve"> che la Fondazione nell’esercizio 2025 ha continuato a perseguire lo scopo</w:t>
      </w:r>
      <w:r w:rsidR="004632BA" w:rsidRPr="00E6412B">
        <w:t xml:space="preserve"> di promuovere e di favorire</w:t>
      </w:r>
      <w:r w:rsidR="004632BA">
        <w:t xml:space="preserve"> </w:t>
      </w:r>
      <w:r w:rsidR="004632BA" w:rsidRPr="00E6412B">
        <w:t>in Italia ed all’Estero lo sport paraolimpico</w:t>
      </w:r>
      <w:r w:rsidR="004632BA">
        <w:t xml:space="preserve"> </w:t>
      </w:r>
      <w:r w:rsidR="004632BA" w:rsidRPr="00E6412B">
        <w:t>dilettantistico per bambini e ragazzi con problemi</w:t>
      </w:r>
      <w:r w:rsidR="004632BA">
        <w:t xml:space="preserve"> di handicap fisico.</w:t>
      </w:r>
    </w:p>
    <w:p w:rsidR="00315CF2" w:rsidRPr="006E2457" w:rsidRDefault="006924C6" w:rsidP="00315CF2">
      <w:pPr>
        <w:pStyle w:val="Titolo2"/>
      </w:pPr>
      <w:r>
        <w:t>Commento</w:t>
      </w:r>
    </w:p>
    <w:p w:rsidR="00A30D50" w:rsidRPr="007A215B" w:rsidRDefault="007A215B" w:rsidP="002C438E">
      <w:r w:rsidRPr="007A215B">
        <w:t xml:space="preserve">Signori </w:t>
      </w:r>
      <w:r w:rsidR="00A435B7">
        <w:t>Partecipanti Fondatori</w:t>
      </w:r>
      <w:r w:rsidRPr="007A215B">
        <w:t xml:space="preserve">, Vi confermiamo che il presente bilancio, composto da stato patrimoniale, rendiconto gestionale e relazione di missione rappresenta in modo veritiero e corretto la situazione patrimoniale e finanziaria dell’ente, nonché il risultato economico dell’esercizio e corrisponde alle scritture contabili. Vi invitiamo pertanto ad approvare il progetto di bilancio al </w:t>
      </w:r>
      <w:r>
        <w:t>31/12/2025</w:t>
      </w:r>
      <w:r w:rsidRPr="007A215B">
        <w:t xml:space="preserve"> unitamente con la proposta di destinazione del risultato d’esercizio, così come predisposto dall’Organo Amministrativo. </w:t>
      </w:r>
    </w:p>
    <w:p w:rsidR="00A30D50" w:rsidRDefault="00B2538A" w:rsidP="002C438E">
      <w:r>
        <w:t>Il Bilancio è ver</w:t>
      </w:r>
      <w:r w:rsidR="00EB3033">
        <w:t xml:space="preserve">itiero </w:t>
      </w:r>
      <w:r>
        <w:t>e corrisponde alle scritture contabil</w:t>
      </w:r>
      <w:r w:rsidR="00D76770">
        <w:t>i.</w:t>
      </w:r>
    </w:p>
    <w:p w:rsidR="004632BA" w:rsidRDefault="004632BA" w:rsidP="002C438E"/>
    <w:p w:rsidR="00B2538A" w:rsidRDefault="007A215B" w:rsidP="002C438E">
      <w:r w:rsidRPr="007A215B">
        <w:t>Mogliano Veneto (TV</w:t>
      </w:r>
      <w:r w:rsidR="004632BA">
        <w:t xml:space="preserve">), </w:t>
      </w:r>
      <w:r w:rsidRPr="007A215B">
        <w:t>31/03/2026</w:t>
      </w:r>
    </w:p>
    <w:p w:rsidR="004632BA" w:rsidRDefault="004632BA" w:rsidP="002C438E"/>
    <w:p w:rsidR="004632BA" w:rsidRPr="004632BA" w:rsidRDefault="004632BA" w:rsidP="002C438E">
      <w:pPr>
        <w:rPr>
          <w:b/>
        </w:rPr>
      </w:pPr>
      <w:r w:rsidRPr="004632BA">
        <w:rPr>
          <w:b/>
        </w:rPr>
        <w:t>Per il Consiglio di Amministrazione</w:t>
      </w:r>
    </w:p>
    <w:p w:rsidR="002C438E" w:rsidRDefault="004632BA" w:rsidP="002C438E">
      <w:r>
        <w:t>Teresa Grandis, Presidente</w:t>
      </w:r>
    </w:p>
    <w:p w:rsidR="002C438E" w:rsidRPr="009A77A4" w:rsidRDefault="002C438E" w:rsidP="002C438E"/>
    <w:sectPr w:rsidR="002C438E" w:rsidRPr="009A77A4">
      <w:headerReference w:type="default" r:id="rId8"/>
      <w:footerReference w:type="default" r:id="rId9"/>
      <w:footerReference w:type="first" r:id="rId10"/>
      <w:pgSz w:w="11907" w:h="16839"/>
      <w:pgMar w:top="578" w:right="845" w:bottom="578" w:left="1191" w:header="720" w:footer="95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55B" w:rsidRDefault="0062355B">
      <w:r>
        <w:separator/>
      </w:r>
    </w:p>
    <w:p w:rsidR="0062355B" w:rsidRDefault="0062355B"/>
    <w:p w:rsidR="0062355B" w:rsidRDefault="0062355B"/>
  </w:endnote>
  <w:endnote w:type="continuationSeparator" w:id="0">
    <w:p w:rsidR="0062355B" w:rsidRDefault="0062355B">
      <w:r>
        <w:continuationSeparator/>
      </w:r>
    </w:p>
    <w:p w:rsidR="0062355B" w:rsidRDefault="0062355B"/>
    <w:p w:rsidR="0062355B" w:rsidRDefault="006235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806" w:rsidRDefault="006C6806">
    <w:pPr>
      <w:rPr>
        <w:sz w:val="16"/>
      </w:rPr>
    </w:pPr>
  </w:p>
  <w:p w:rsidR="006C6806" w:rsidRDefault="006C6806">
    <w:pPr>
      <w:rPr>
        <w:sz w:val="16"/>
      </w:rPr>
    </w:pPr>
  </w:p>
  <w:tbl>
    <w:tblPr>
      <w:tblW w:w="0" w:type="auto"/>
      <w:tblCellMar>
        <w:left w:w="70" w:type="dxa"/>
        <w:right w:w="70" w:type="dxa"/>
      </w:tblCellMar>
      <w:tblLook w:val="0000" w:firstRow="0" w:lastRow="0" w:firstColumn="0" w:lastColumn="0" w:noHBand="0" w:noVBand="0"/>
    </w:tblPr>
    <w:tblGrid>
      <w:gridCol w:w="5005"/>
      <w:gridCol w:w="5006"/>
    </w:tblGrid>
    <w:tr w:rsidR="006C6806">
      <w:tc>
        <w:tcPr>
          <w:tcW w:w="5005" w:type="dxa"/>
        </w:tcPr>
        <w:p w:rsidR="006C6806" w:rsidRDefault="00F9739A">
          <w:pPr>
            <w:pStyle w:val="Pidipagina"/>
            <w:rPr>
              <w:rStyle w:val="Rimandocommento"/>
            </w:rPr>
          </w:pPr>
          <w:r>
            <w:rPr>
              <w:rStyle w:val="Rimandocommento"/>
            </w:rPr>
            <w:t>Bilancio XBRL</w:t>
          </w:r>
        </w:p>
      </w:tc>
      <w:tc>
        <w:tcPr>
          <w:tcW w:w="5006" w:type="dxa"/>
        </w:tcPr>
        <w:p w:rsidR="006C6806" w:rsidRDefault="006C6806">
          <w:pPr>
            <w:pStyle w:val="Pidipagina"/>
            <w:jc w:val="right"/>
            <w:rPr>
              <w:rStyle w:val="Rimandocommento"/>
              <w:b/>
              <w:bCs/>
            </w:rPr>
          </w:pPr>
          <w:r>
            <w:rPr>
              <w:rStyle w:val="Numeropagina"/>
              <w:b w:val="0"/>
              <w:bCs/>
            </w:rPr>
            <w:fldChar w:fldCharType="begin"/>
          </w:r>
          <w:r>
            <w:rPr>
              <w:rStyle w:val="Numeropagina"/>
              <w:b w:val="0"/>
              <w:bCs/>
            </w:rPr>
            <w:instrText xml:space="preserve"> PAGE </w:instrText>
          </w:r>
          <w:r>
            <w:rPr>
              <w:rStyle w:val="Numeropagina"/>
              <w:b w:val="0"/>
              <w:bCs/>
            </w:rPr>
            <w:fldChar w:fldCharType="separate"/>
          </w:r>
          <w:r w:rsidR="00C855A3">
            <w:rPr>
              <w:rStyle w:val="Numeropagina"/>
              <w:b w:val="0"/>
              <w:bCs/>
              <w:noProof/>
            </w:rPr>
            <w:t>19</w:t>
          </w:r>
          <w:r>
            <w:rPr>
              <w:rStyle w:val="Numeropagina"/>
              <w:b w:val="0"/>
              <w:bCs/>
            </w:rPr>
            <w:fldChar w:fldCharType="end"/>
          </w:r>
        </w:p>
      </w:tc>
    </w:tr>
  </w:tbl>
  <w:p w:rsidR="006C6806" w:rsidRDefault="006C680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7FE" w:rsidRDefault="00C867FE">
    <w:pPr>
      <w:pStyle w:val="Pidipagina"/>
    </w:pPr>
  </w:p>
  <w:tbl>
    <w:tblPr>
      <w:tblW w:w="0" w:type="auto"/>
      <w:tblLook w:val="04A0" w:firstRow="1" w:lastRow="0" w:firstColumn="1" w:lastColumn="0" w:noHBand="0" w:noVBand="1"/>
    </w:tblPr>
    <w:tblGrid>
      <w:gridCol w:w="5005"/>
      <w:gridCol w:w="5006"/>
    </w:tblGrid>
    <w:tr w:rsidR="00C867FE" w:rsidTr="00C867FE">
      <w:tc>
        <w:tcPr>
          <w:tcW w:w="5005" w:type="dxa"/>
        </w:tcPr>
        <w:p w:rsidR="00C867FE" w:rsidRPr="00C867FE" w:rsidRDefault="00C867FE">
          <w:pPr>
            <w:pStyle w:val="Pidipagina"/>
            <w:rPr>
              <w:sz w:val="16"/>
              <w:szCs w:val="16"/>
            </w:rPr>
          </w:pPr>
          <w:r w:rsidRPr="00C867FE">
            <w:rPr>
              <w:sz w:val="16"/>
              <w:szCs w:val="16"/>
            </w:rPr>
            <w:t>Bilancio XBRL</w:t>
          </w:r>
        </w:p>
      </w:tc>
      <w:tc>
        <w:tcPr>
          <w:tcW w:w="5006" w:type="dxa"/>
        </w:tcPr>
        <w:p w:rsidR="00C867FE" w:rsidRPr="00C867FE" w:rsidRDefault="00C867FE" w:rsidP="00C867FE">
          <w:pPr>
            <w:pStyle w:val="Pidipagina"/>
            <w:jc w:val="right"/>
            <w:rPr>
              <w:sz w:val="16"/>
              <w:szCs w:val="16"/>
            </w:rPr>
          </w:pPr>
          <w:r w:rsidRPr="00C867FE">
            <w:rPr>
              <w:sz w:val="16"/>
              <w:szCs w:val="16"/>
            </w:rPr>
            <w:fldChar w:fldCharType="begin"/>
          </w:r>
          <w:r w:rsidRPr="00C867FE">
            <w:rPr>
              <w:sz w:val="16"/>
              <w:szCs w:val="16"/>
            </w:rPr>
            <w:instrText xml:space="preserve"> PAGE   \* MERGEFORMAT </w:instrText>
          </w:r>
          <w:r w:rsidRPr="00C867FE">
            <w:rPr>
              <w:sz w:val="16"/>
              <w:szCs w:val="16"/>
            </w:rPr>
            <w:fldChar w:fldCharType="separate"/>
          </w:r>
          <w:r w:rsidR="00C855A3">
            <w:rPr>
              <w:noProof/>
              <w:sz w:val="16"/>
              <w:szCs w:val="16"/>
            </w:rPr>
            <w:t>1</w:t>
          </w:r>
          <w:r w:rsidRPr="00C867FE">
            <w:rPr>
              <w:sz w:val="16"/>
              <w:szCs w:val="16"/>
            </w:rPr>
            <w:fldChar w:fldCharType="end"/>
          </w:r>
        </w:p>
      </w:tc>
    </w:tr>
  </w:tbl>
  <w:p w:rsidR="00C867FE" w:rsidRDefault="00C867FE">
    <w:pPr>
      <w:pStyle w:val="Pidipagina"/>
      <w:rPr>
        <w:rStyle w:val="Numeropagina"/>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55B" w:rsidRDefault="0062355B">
      <w:r>
        <w:separator/>
      </w:r>
    </w:p>
    <w:p w:rsidR="0062355B" w:rsidRDefault="0062355B"/>
    <w:p w:rsidR="0062355B" w:rsidRDefault="0062355B"/>
  </w:footnote>
  <w:footnote w:type="continuationSeparator" w:id="0">
    <w:p w:rsidR="0062355B" w:rsidRDefault="0062355B">
      <w:r>
        <w:continuationSeparator/>
      </w:r>
    </w:p>
    <w:p w:rsidR="0062355B" w:rsidRDefault="0062355B"/>
    <w:p w:rsidR="0062355B" w:rsidRDefault="006235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5005"/>
      <w:gridCol w:w="5006"/>
    </w:tblGrid>
    <w:tr w:rsidR="006C6806">
      <w:tc>
        <w:tcPr>
          <w:tcW w:w="5005" w:type="dxa"/>
        </w:tcPr>
        <w:p w:rsidR="006C6806" w:rsidRPr="007A215B" w:rsidRDefault="00C867FE" w:rsidP="00C867FE">
          <w:pPr>
            <w:pStyle w:val="Intestazione"/>
            <w:rPr>
              <w:rStyle w:val="Rimandocommento"/>
            </w:rPr>
          </w:pPr>
          <w:r>
            <w:rPr>
              <w:rStyle w:val="Rimandocommento"/>
            </w:rPr>
            <w:t xml:space="preserve"> </w:t>
          </w:r>
          <w:r w:rsidR="007A215B" w:rsidRPr="007A215B">
            <w:rPr>
              <w:rStyle w:val="Rimandocommento"/>
            </w:rPr>
            <w:t>FONDAZIONE ART4SPORT ETS</w:t>
          </w:r>
          <w:r w:rsidRPr="007A215B">
            <w:rPr>
              <w:rStyle w:val="Rimandocommento"/>
            </w:rPr>
            <w:t xml:space="preserve"> </w:t>
          </w:r>
        </w:p>
      </w:tc>
      <w:tc>
        <w:tcPr>
          <w:tcW w:w="5006" w:type="dxa"/>
        </w:tcPr>
        <w:p w:rsidR="006C6806" w:rsidRDefault="006C6806" w:rsidP="00DB6605">
          <w:pPr>
            <w:pStyle w:val="Intestazione"/>
            <w:jc w:val="right"/>
            <w:rPr>
              <w:rStyle w:val="Rimandocommento"/>
            </w:rPr>
          </w:pPr>
          <w:r>
            <w:rPr>
              <w:rStyle w:val="Rimandocommento"/>
            </w:rPr>
            <w:t xml:space="preserve">Bilancio al </w:t>
          </w:r>
          <w:r w:rsidR="007A215B" w:rsidRPr="007A215B">
            <w:rPr>
              <w:rStyle w:val="Rimandocommento"/>
            </w:rPr>
            <w:t>31/12/2025</w:t>
          </w:r>
          <w:r w:rsidR="00C867FE">
            <w:rPr>
              <w:rStyle w:val="Rimandocommento"/>
            </w:rPr>
            <w:t xml:space="preserve"> </w:t>
          </w:r>
        </w:p>
      </w:tc>
    </w:tr>
  </w:tbl>
  <w:p w:rsidR="006C6806" w:rsidRDefault="006C6806">
    <w:pPr>
      <w:pStyle w:val="Intestazione"/>
      <w:rPr>
        <w:rFonts w:ascii="Times" w:hAnsi="Times"/>
        <w:sz w:val="16"/>
      </w:rPr>
    </w:pPr>
  </w:p>
  <w:p w:rsidR="006C6806" w:rsidRDefault="006C6806">
    <w:pPr>
      <w:pStyle w:val="Intestazione"/>
      <w:rPr>
        <w:rFonts w:ascii="Times" w:hAnsi="Times"/>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44C1A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2A6F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C7CE0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34833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8DE677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A60AF9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EA2F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6A202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EC50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100D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pStyle w:val="Puntoelenco"/>
      <w:lvlText w:val="*"/>
      <w:lvlJc w:val="left"/>
    </w:lvl>
  </w:abstractNum>
  <w:abstractNum w:abstractNumId="11" w15:restartNumberingAfterBreak="0">
    <w:nsid w:val="0921588B"/>
    <w:multiLevelType w:val="hybridMultilevel"/>
    <w:tmpl w:val="1F544B2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C1E0C71"/>
    <w:multiLevelType w:val="singleLevel"/>
    <w:tmpl w:val="687A89DA"/>
    <w:lvl w:ilvl="0">
      <w:start w:val="1"/>
      <w:numFmt w:val="none"/>
      <w:lvlText w:val=""/>
      <w:legacy w:legacy="1" w:legacySpace="0" w:legacyIndent="0"/>
      <w:lvlJc w:val="left"/>
    </w:lvl>
  </w:abstractNum>
  <w:abstractNum w:abstractNumId="13" w15:restartNumberingAfterBreak="0">
    <w:nsid w:val="0E7D13E4"/>
    <w:multiLevelType w:val="singleLevel"/>
    <w:tmpl w:val="960A983A"/>
    <w:lvl w:ilvl="0">
      <w:start w:val="1"/>
      <w:numFmt w:val="none"/>
      <w:lvlText w:val=""/>
      <w:legacy w:legacy="1" w:legacySpace="0" w:legacyIndent="0"/>
      <w:lvlJc w:val="left"/>
    </w:lvl>
  </w:abstractNum>
  <w:abstractNum w:abstractNumId="14" w15:restartNumberingAfterBreak="0">
    <w:nsid w:val="11F81166"/>
    <w:multiLevelType w:val="singleLevel"/>
    <w:tmpl w:val="8DCEB282"/>
    <w:lvl w:ilvl="0">
      <w:start w:val="1"/>
      <w:numFmt w:val="decimal"/>
      <w:lvlText w:val="%1."/>
      <w:legacy w:legacy="1" w:legacySpace="0" w:legacyIndent="360"/>
      <w:lvlJc w:val="left"/>
      <w:pPr>
        <w:ind w:left="1800" w:hanging="360"/>
      </w:pPr>
      <w:rPr>
        <w:rFonts w:ascii="Symbol" w:hAnsi="Symbol" w:hint="default"/>
        <w:b/>
        <w:i w:val="0"/>
        <w:sz w:val="18"/>
      </w:rPr>
    </w:lvl>
  </w:abstractNum>
  <w:abstractNum w:abstractNumId="15" w15:restartNumberingAfterBreak="0">
    <w:nsid w:val="21E21E9B"/>
    <w:multiLevelType w:val="singleLevel"/>
    <w:tmpl w:val="8DCEB282"/>
    <w:lvl w:ilvl="0">
      <w:start w:val="1"/>
      <w:numFmt w:val="decimal"/>
      <w:lvlText w:val="%1."/>
      <w:legacy w:legacy="1" w:legacySpace="0" w:legacyIndent="360"/>
      <w:lvlJc w:val="left"/>
      <w:pPr>
        <w:ind w:left="1800" w:hanging="360"/>
      </w:pPr>
      <w:rPr>
        <w:rFonts w:ascii="Arial" w:hAnsi="Arial" w:hint="default"/>
        <w:b/>
        <w:i w:val="0"/>
        <w:sz w:val="18"/>
      </w:rPr>
    </w:lvl>
  </w:abstractNum>
  <w:abstractNum w:abstractNumId="16" w15:restartNumberingAfterBreak="0">
    <w:nsid w:val="290B43EF"/>
    <w:multiLevelType w:val="singleLevel"/>
    <w:tmpl w:val="687A89DA"/>
    <w:lvl w:ilvl="0">
      <w:start w:val="1"/>
      <w:numFmt w:val="none"/>
      <w:lvlText w:val=""/>
      <w:legacy w:legacy="1" w:legacySpace="0" w:legacyIndent="0"/>
      <w:lvlJc w:val="left"/>
    </w:lvl>
  </w:abstractNum>
  <w:abstractNum w:abstractNumId="17" w15:restartNumberingAfterBreak="0">
    <w:nsid w:val="29B966BA"/>
    <w:multiLevelType w:val="hybridMultilevel"/>
    <w:tmpl w:val="6B981F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BB863DF"/>
    <w:multiLevelType w:val="singleLevel"/>
    <w:tmpl w:val="687A89DA"/>
    <w:lvl w:ilvl="0">
      <w:start w:val="1"/>
      <w:numFmt w:val="none"/>
      <w:lvlText w:val=""/>
      <w:legacy w:legacy="1" w:legacySpace="0" w:legacyIndent="0"/>
      <w:lvlJc w:val="left"/>
    </w:lvl>
  </w:abstractNum>
  <w:abstractNum w:abstractNumId="19" w15:restartNumberingAfterBreak="0">
    <w:nsid w:val="2DE02ECB"/>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4154E3F"/>
    <w:multiLevelType w:val="singleLevel"/>
    <w:tmpl w:val="687A89DA"/>
    <w:lvl w:ilvl="0">
      <w:start w:val="1"/>
      <w:numFmt w:val="none"/>
      <w:lvlText w:val=""/>
      <w:legacy w:legacy="1" w:legacySpace="0" w:legacyIndent="0"/>
      <w:lvlJc w:val="left"/>
    </w:lvl>
  </w:abstractNum>
  <w:abstractNum w:abstractNumId="21" w15:restartNumberingAfterBreak="0">
    <w:nsid w:val="367B431C"/>
    <w:multiLevelType w:val="hybridMultilevel"/>
    <w:tmpl w:val="9E7A5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A785CB0"/>
    <w:multiLevelType w:val="multilevel"/>
    <w:tmpl w:val="42DE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715FA0"/>
    <w:multiLevelType w:val="hybridMultilevel"/>
    <w:tmpl w:val="6F72EE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FE72F5D"/>
    <w:multiLevelType w:val="singleLevel"/>
    <w:tmpl w:val="8CF41354"/>
    <w:lvl w:ilvl="0">
      <w:start w:val="1"/>
      <w:numFmt w:val="none"/>
      <w:lvlText w:val=""/>
      <w:legacy w:legacy="1" w:legacySpace="0" w:legacyIndent="0"/>
      <w:lvlJc w:val="left"/>
    </w:lvl>
  </w:abstractNum>
  <w:abstractNum w:abstractNumId="25" w15:restartNumberingAfterBreak="0">
    <w:nsid w:val="40182D17"/>
    <w:multiLevelType w:val="singleLevel"/>
    <w:tmpl w:val="687A89DA"/>
    <w:lvl w:ilvl="0">
      <w:start w:val="1"/>
      <w:numFmt w:val="none"/>
      <w:lvlText w:val=""/>
      <w:legacy w:legacy="1" w:legacySpace="0" w:legacyIndent="0"/>
      <w:lvlJc w:val="left"/>
    </w:lvl>
  </w:abstractNum>
  <w:abstractNum w:abstractNumId="26" w15:restartNumberingAfterBreak="0">
    <w:nsid w:val="4168782A"/>
    <w:multiLevelType w:val="hybridMultilevel"/>
    <w:tmpl w:val="F3CC8AE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448F6C7F"/>
    <w:multiLevelType w:val="multilevel"/>
    <w:tmpl w:val="12DA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1A63F1"/>
    <w:multiLevelType w:val="singleLevel"/>
    <w:tmpl w:val="C25CBB00"/>
    <w:lvl w:ilvl="0">
      <w:start w:val="1"/>
      <w:numFmt w:val="none"/>
      <w:lvlText w:val=""/>
      <w:legacy w:legacy="1" w:legacySpace="0" w:legacyIndent="0"/>
      <w:lvlJc w:val="left"/>
    </w:lvl>
  </w:abstractNum>
  <w:abstractNum w:abstractNumId="29" w15:restartNumberingAfterBreak="0">
    <w:nsid w:val="473043F4"/>
    <w:multiLevelType w:val="singleLevel"/>
    <w:tmpl w:val="687A89DA"/>
    <w:lvl w:ilvl="0">
      <w:start w:val="1"/>
      <w:numFmt w:val="none"/>
      <w:lvlText w:val=""/>
      <w:legacy w:legacy="1" w:legacySpace="0" w:legacyIndent="0"/>
      <w:lvlJc w:val="left"/>
    </w:lvl>
  </w:abstractNum>
  <w:abstractNum w:abstractNumId="30" w15:restartNumberingAfterBreak="0">
    <w:nsid w:val="4ECB7B13"/>
    <w:multiLevelType w:val="multilevel"/>
    <w:tmpl w:val="CE8EBB2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521D7A14"/>
    <w:multiLevelType w:val="singleLevel"/>
    <w:tmpl w:val="687A89DA"/>
    <w:lvl w:ilvl="0">
      <w:start w:val="1"/>
      <w:numFmt w:val="none"/>
      <w:lvlText w:val=""/>
      <w:legacy w:legacy="1" w:legacySpace="0" w:legacyIndent="0"/>
      <w:lvlJc w:val="left"/>
    </w:lvl>
  </w:abstractNum>
  <w:abstractNum w:abstractNumId="32" w15:restartNumberingAfterBreak="0">
    <w:nsid w:val="5564280C"/>
    <w:multiLevelType w:val="multilevel"/>
    <w:tmpl w:val="3BE4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5C2205"/>
    <w:multiLevelType w:val="hybridMultilevel"/>
    <w:tmpl w:val="BEC8B00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4" w15:restartNumberingAfterBreak="0">
    <w:nsid w:val="64C8205C"/>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6B477E"/>
    <w:multiLevelType w:val="multilevel"/>
    <w:tmpl w:val="BA80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DB42D0"/>
    <w:multiLevelType w:val="singleLevel"/>
    <w:tmpl w:val="D5EECCA4"/>
    <w:lvl w:ilvl="0">
      <w:start w:val="1"/>
      <w:numFmt w:val="decimal"/>
      <w:lvlText w:val="%1."/>
      <w:legacy w:legacy="1" w:legacySpace="0" w:legacyIndent="360"/>
      <w:lvlJc w:val="left"/>
      <w:pPr>
        <w:ind w:left="1440" w:hanging="360"/>
      </w:pPr>
    </w:lvl>
  </w:abstractNum>
  <w:abstractNum w:abstractNumId="37" w15:restartNumberingAfterBreak="0">
    <w:nsid w:val="7256187A"/>
    <w:multiLevelType w:val="hybridMultilevel"/>
    <w:tmpl w:val="61FA0F6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A76F65"/>
    <w:multiLevelType w:val="singleLevel"/>
    <w:tmpl w:val="86F87C5E"/>
    <w:lvl w:ilvl="0">
      <w:start w:val="1"/>
      <w:numFmt w:val="none"/>
      <w:lvlText w:val=""/>
      <w:legacy w:legacy="1" w:legacySpace="0" w:legacyIndent="0"/>
      <w:lvlJc w:val="left"/>
    </w:lvl>
  </w:abstractNum>
  <w:abstractNum w:abstractNumId="39" w15:restartNumberingAfterBreak="0">
    <w:nsid w:val="7A3B0A49"/>
    <w:multiLevelType w:val="hybridMultilevel"/>
    <w:tmpl w:val="89BC61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0"/>
  </w:num>
  <w:num w:numId="4">
    <w:abstractNumId w:val="1"/>
  </w:num>
  <w:num w:numId="5">
    <w:abstractNumId w:val="2"/>
  </w:num>
  <w:num w:numId="6">
    <w:abstractNumId w:val="4"/>
  </w:num>
  <w:num w:numId="7">
    <w:abstractNumId w:val="5"/>
  </w:num>
  <w:num w:numId="8">
    <w:abstractNumId w:val="6"/>
  </w:num>
  <w:num w:numId="9">
    <w:abstractNumId w:val="7"/>
  </w:num>
  <w:num w:numId="10">
    <w:abstractNumId w:val="3"/>
  </w:num>
  <w:num w:numId="11">
    <w:abstractNumId w:val="10"/>
    <w:lvlOverride w:ilvl="0">
      <w:lvl w:ilvl="0">
        <w:start w:val="1"/>
        <w:numFmt w:val="bullet"/>
        <w:pStyle w:val="Puntoelenco"/>
        <w:lvlText w:val=""/>
        <w:legacy w:legacy="1" w:legacySpace="0" w:legacyIndent="360"/>
        <w:lvlJc w:val="left"/>
        <w:pPr>
          <w:ind w:left="1800" w:hanging="360"/>
        </w:pPr>
        <w:rPr>
          <w:rFonts w:ascii="Symbol" w:hAnsi="Symbol" w:hint="default"/>
          <w:sz w:val="22"/>
        </w:rPr>
      </w:lvl>
    </w:lvlOverride>
  </w:num>
  <w:num w:numId="12">
    <w:abstractNumId w:val="15"/>
  </w:num>
  <w:num w:numId="13">
    <w:abstractNumId w:val="10"/>
    <w:lvlOverride w:ilvl="0">
      <w:lvl w:ilvl="0">
        <w:start w:val="1"/>
        <w:numFmt w:val="bullet"/>
        <w:pStyle w:val="Puntoelenco"/>
        <w:lvlText w:val=""/>
        <w:legacy w:legacy="1" w:legacySpace="0" w:legacyIndent="360"/>
        <w:lvlJc w:val="left"/>
        <w:pPr>
          <w:ind w:left="1800" w:hanging="360"/>
        </w:pPr>
        <w:rPr>
          <w:rFonts w:ascii="Arial" w:hAnsi="Arial" w:hint="default"/>
          <w:sz w:val="22"/>
        </w:rPr>
      </w:lvl>
    </w:lvlOverride>
  </w:num>
  <w:num w:numId="14">
    <w:abstractNumId w:val="10"/>
    <w:lvlOverride w:ilvl="0">
      <w:lvl w:ilvl="0">
        <w:start w:val="1"/>
        <w:numFmt w:val="bullet"/>
        <w:pStyle w:val="Puntoelenco"/>
        <w:lvlText w:val="n"/>
        <w:legacy w:legacy="1" w:legacySpace="0" w:legacyIndent="360"/>
        <w:lvlJc w:val="left"/>
        <w:pPr>
          <w:ind w:left="1440" w:hanging="360"/>
        </w:pPr>
        <w:rPr>
          <w:rFonts w:ascii="Times" w:hAnsi="Times" w:hint="default"/>
          <w:sz w:val="16"/>
        </w:rPr>
      </w:lvl>
    </w:lvlOverride>
  </w:num>
  <w:num w:numId="15">
    <w:abstractNumId w:val="10"/>
    <w:lvlOverride w:ilvl="0">
      <w:lvl w:ilvl="0">
        <w:start w:val="1"/>
        <w:numFmt w:val="bullet"/>
        <w:pStyle w:val="Puntoelenco"/>
        <w:lvlText w:val="n"/>
        <w:legacy w:legacy="1" w:legacySpace="0" w:legacyIndent="360"/>
        <w:lvlJc w:val="left"/>
        <w:pPr>
          <w:ind w:left="1800" w:hanging="360"/>
        </w:pPr>
        <w:rPr>
          <w:rFonts w:ascii="Times" w:hAnsi="Times" w:hint="default"/>
          <w:sz w:val="12"/>
        </w:rPr>
      </w:lvl>
    </w:lvlOverride>
  </w:num>
  <w:num w:numId="16">
    <w:abstractNumId w:val="13"/>
  </w:num>
  <w:num w:numId="17">
    <w:abstractNumId w:val="28"/>
  </w:num>
  <w:num w:numId="18">
    <w:abstractNumId w:val="24"/>
  </w:num>
  <w:num w:numId="19">
    <w:abstractNumId w:val="38"/>
  </w:num>
  <w:num w:numId="20">
    <w:abstractNumId w:val="29"/>
  </w:num>
  <w:num w:numId="21">
    <w:abstractNumId w:val="36"/>
  </w:num>
  <w:num w:numId="22">
    <w:abstractNumId w:val="36"/>
    <w:lvlOverride w:ilvl="0">
      <w:lvl w:ilvl="0">
        <w:start w:val="1"/>
        <w:numFmt w:val="decimal"/>
        <w:lvlText w:val="%1."/>
        <w:legacy w:legacy="1" w:legacySpace="0" w:legacyIndent="360"/>
        <w:lvlJc w:val="left"/>
        <w:pPr>
          <w:ind w:left="1800" w:hanging="360"/>
        </w:pPr>
      </w:lvl>
    </w:lvlOverride>
  </w:num>
  <w:num w:numId="23">
    <w:abstractNumId w:val="36"/>
    <w:lvlOverride w:ilvl="0">
      <w:lvl w:ilvl="0">
        <w:start w:val="1"/>
        <w:numFmt w:val="decimal"/>
        <w:lvlText w:val="%1."/>
        <w:legacy w:legacy="1" w:legacySpace="0" w:legacyIndent="360"/>
        <w:lvlJc w:val="left"/>
        <w:pPr>
          <w:ind w:left="2160" w:hanging="360"/>
        </w:pPr>
      </w:lvl>
    </w:lvlOverride>
  </w:num>
  <w:num w:numId="24">
    <w:abstractNumId w:val="36"/>
    <w:lvlOverride w:ilvl="0">
      <w:lvl w:ilvl="0">
        <w:start w:val="1"/>
        <w:numFmt w:val="decimal"/>
        <w:lvlText w:val="%1."/>
        <w:legacy w:legacy="1" w:legacySpace="0" w:legacyIndent="360"/>
        <w:lvlJc w:val="left"/>
        <w:pPr>
          <w:ind w:left="2520" w:hanging="360"/>
        </w:pPr>
      </w:lvl>
    </w:lvlOverride>
  </w:num>
  <w:num w:numId="25">
    <w:abstractNumId w:val="36"/>
    <w:lvlOverride w:ilvl="0">
      <w:lvl w:ilvl="0">
        <w:start w:val="1"/>
        <w:numFmt w:val="decimal"/>
        <w:lvlText w:val="%1."/>
        <w:legacy w:legacy="1" w:legacySpace="0" w:legacyIndent="360"/>
        <w:lvlJc w:val="left"/>
        <w:pPr>
          <w:ind w:left="2880" w:hanging="360"/>
        </w:pPr>
      </w:lvl>
    </w:lvlOverride>
  </w:num>
  <w:num w:numId="26">
    <w:abstractNumId w:val="10"/>
    <w:lvlOverride w:ilvl="0">
      <w:lvl w:ilvl="0">
        <w:numFmt w:val="bullet"/>
        <w:pStyle w:val="Puntoelenco"/>
        <w:lvlText w:val=""/>
        <w:legacy w:legacy="1" w:legacySpace="0" w:legacyIndent="360"/>
        <w:lvlJc w:val="left"/>
        <w:pPr>
          <w:ind w:left="1800" w:hanging="360"/>
        </w:pPr>
        <w:rPr>
          <w:rFonts w:ascii="Symbol" w:hAnsi="Symbol" w:hint="default"/>
          <w:sz w:val="22"/>
        </w:rPr>
      </w:lvl>
    </w:lvlOverride>
  </w:num>
  <w:num w:numId="27">
    <w:abstractNumId w:val="15"/>
    <w:lvlOverride w:ilvl="0">
      <w:startOverride w:val="1"/>
    </w:lvlOverride>
  </w:num>
  <w:num w:numId="28">
    <w:abstractNumId w:val="15"/>
    <w:lvlOverride w:ilvl="0">
      <w:lvl w:ilvl="0">
        <w:start w:val="1"/>
        <w:numFmt w:val="decimal"/>
        <w:lvlText w:val="%1."/>
        <w:legacy w:legacy="1" w:legacySpace="0" w:legacyIndent="360"/>
        <w:lvlJc w:val="left"/>
        <w:pPr>
          <w:ind w:left="1800" w:hanging="360"/>
        </w:pPr>
        <w:rPr>
          <w:rFonts w:ascii="Symbol" w:hAnsi="Symbol" w:hint="default"/>
          <w:b/>
          <w:i w:val="0"/>
          <w:sz w:val="18"/>
        </w:rPr>
      </w:lvl>
    </w:lvlOverride>
  </w:num>
  <w:num w:numId="29">
    <w:abstractNumId w:val="14"/>
  </w:num>
  <w:num w:numId="30">
    <w:abstractNumId w:val="16"/>
  </w:num>
  <w:num w:numId="31">
    <w:abstractNumId w:val="18"/>
  </w:num>
  <w:num w:numId="32">
    <w:abstractNumId w:val="31"/>
  </w:num>
  <w:num w:numId="33">
    <w:abstractNumId w:val="25"/>
  </w:num>
  <w:num w:numId="34">
    <w:abstractNumId w:val="20"/>
  </w:num>
  <w:num w:numId="35">
    <w:abstractNumId w:val="12"/>
  </w:num>
  <w:num w:numId="36">
    <w:abstractNumId w:val="37"/>
  </w:num>
  <w:num w:numId="37">
    <w:abstractNumId w:val="33"/>
  </w:num>
  <w:num w:numId="38">
    <w:abstractNumId w:val="26"/>
  </w:num>
  <w:num w:numId="39">
    <w:abstractNumId w:val="19"/>
  </w:num>
  <w:num w:numId="40">
    <w:abstractNumId w:val="34"/>
  </w:num>
  <w:num w:numId="41">
    <w:abstractNumId w:val="21"/>
  </w:num>
  <w:num w:numId="42">
    <w:abstractNumId w:val="30"/>
  </w:num>
  <w:num w:numId="43">
    <w:abstractNumId w:val="35"/>
  </w:num>
  <w:num w:numId="44">
    <w:abstractNumId w:val="27"/>
  </w:num>
  <w:num w:numId="45">
    <w:abstractNumId w:val="32"/>
  </w:num>
  <w:num w:numId="46">
    <w:abstractNumId w:val="22"/>
  </w:num>
  <w:num w:numId="47">
    <w:abstractNumId w:val="17"/>
  </w:num>
  <w:num w:numId="48">
    <w:abstractNumId w:val="23"/>
  </w:num>
  <w:num w:numId="49">
    <w:abstractNumId w:val="11"/>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hyphenationZone w:val="283"/>
  <w:drawingGridHorizontalSpacing w:val="24"/>
  <w:drawingGridVerticalSpacing w:val="65"/>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628"/>
    <w:rsid w:val="000042B4"/>
    <w:rsid w:val="00004D39"/>
    <w:rsid w:val="00005061"/>
    <w:rsid w:val="00005AA7"/>
    <w:rsid w:val="00005D41"/>
    <w:rsid w:val="000060CD"/>
    <w:rsid w:val="00006495"/>
    <w:rsid w:val="00006DCB"/>
    <w:rsid w:val="0001082E"/>
    <w:rsid w:val="00011B22"/>
    <w:rsid w:val="00012643"/>
    <w:rsid w:val="00012D6A"/>
    <w:rsid w:val="00014458"/>
    <w:rsid w:val="00016584"/>
    <w:rsid w:val="00017BA6"/>
    <w:rsid w:val="00020794"/>
    <w:rsid w:val="00020886"/>
    <w:rsid w:val="00020BB6"/>
    <w:rsid w:val="00021077"/>
    <w:rsid w:val="00022D72"/>
    <w:rsid w:val="00024F1E"/>
    <w:rsid w:val="000263F1"/>
    <w:rsid w:val="0002654B"/>
    <w:rsid w:val="00026B59"/>
    <w:rsid w:val="00026F64"/>
    <w:rsid w:val="000279F0"/>
    <w:rsid w:val="0003027D"/>
    <w:rsid w:val="00032053"/>
    <w:rsid w:val="00032F0D"/>
    <w:rsid w:val="000334AC"/>
    <w:rsid w:val="00033B8C"/>
    <w:rsid w:val="00045031"/>
    <w:rsid w:val="00046310"/>
    <w:rsid w:val="000478D8"/>
    <w:rsid w:val="00053ABA"/>
    <w:rsid w:val="000541AA"/>
    <w:rsid w:val="00055949"/>
    <w:rsid w:val="00056ABC"/>
    <w:rsid w:val="0005723B"/>
    <w:rsid w:val="000578F7"/>
    <w:rsid w:val="00057C44"/>
    <w:rsid w:val="000605E4"/>
    <w:rsid w:val="00060B98"/>
    <w:rsid w:val="00060C4A"/>
    <w:rsid w:val="000658A6"/>
    <w:rsid w:val="00066754"/>
    <w:rsid w:val="0007012C"/>
    <w:rsid w:val="000708EB"/>
    <w:rsid w:val="00073D7F"/>
    <w:rsid w:val="0008057C"/>
    <w:rsid w:val="00081A58"/>
    <w:rsid w:val="00084F12"/>
    <w:rsid w:val="00086856"/>
    <w:rsid w:val="0009008C"/>
    <w:rsid w:val="000920DE"/>
    <w:rsid w:val="000924E6"/>
    <w:rsid w:val="00092BC4"/>
    <w:rsid w:val="0009484A"/>
    <w:rsid w:val="00096527"/>
    <w:rsid w:val="0009764B"/>
    <w:rsid w:val="000A10C2"/>
    <w:rsid w:val="000A1D8A"/>
    <w:rsid w:val="000A2E5B"/>
    <w:rsid w:val="000A3021"/>
    <w:rsid w:val="000A31A1"/>
    <w:rsid w:val="000A64ED"/>
    <w:rsid w:val="000A6ADF"/>
    <w:rsid w:val="000B005F"/>
    <w:rsid w:val="000B0774"/>
    <w:rsid w:val="000B1C28"/>
    <w:rsid w:val="000B33C4"/>
    <w:rsid w:val="000B3BDF"/>
    <w:rsid w:val="000B4332"/>
    <w:rsid w:val="000B477F"/>
    <w:rsid w:val="000B5032"/>
    <w:rsid w:val="000C06FA"/>
    <w:rsid w:val="000C123E"/>
    <w:rsid w:val="000C13A4"/>
    <w:rsid w:val="000C4041"/>
    <w:rsid w:val="000C59CC"/>
    <w:rsid w:val="000C6DA6"/>
    <w:rsid w:val="000D31EE"/>
    <w:rsid w:val="000D4353"/>
    <w:rsid w:val="000E11DC"/>
    <w:rsid w:val="000E1E64"/>
    <w:rsid w:val="000E5D7D"/>
    <w:rsid w:val="000E716E"/>
    <w:rsid w:val="000E76F3"/>
    <w:rsid w:val="000F0188"/>
    <w:rsid w:val="000F159C"/>
    <w:rsid w:val="000F233C"/>
    <w:rsid w:val="000F3E31"/>
    <w:rsid w:val="000F4133"/>
    <w:rsid w:val="000F451A"/>
    <w:rsid w:val="000F4615"/>
    <w:rsid w:val="000F6258"/>
    <w:rsid w:val="001014D8"/>
    <w:rsid w:val="00103943"/>
    <w:rsid w:val="00104643"/>
    <w:rsid w:val="00106857"/>
    <w:rsid w:val="0011058B"/>
    <w:rsid w:val="00110998"/>
    <w:rsid w:val="001112D2"/>
    <w:rsid w:val="001145D6"/>
    <w:rsid w:val="00114D69"/>
    <w:rsid w:val="00116AD8"/>
    <w:rsid w:val="00126C69"/>
    <w:rsid w:val="00132D40"/>
    <w:rsid w:val="00133FD9"/>
    <w:rsid w:val="00133FFA"/>
    <w:rsid w:val="001342AC"/>
    <w:rsid w:val="00135226"/>
    <w:rsid w:val="001406F5"/>
    <w:rsid w:val="001447F9"/>
    <w:rsid w:val="00144B1D"/>
    <w:rsid w:val="00147E3F"/>
    <w:rsid w:val="00150CDC"/>
    <w:rsid w:val="00151A69"/>
    <w:rsid w:val="00151E42"/>
    <w:rsid w:val="001520F7"/>
    <w:rsid w:val="001521C1"/>
    <w:rsid w:val="001532B5"/>
    <w:rsid w:val="00156C47"/>
    <w:rsid w:val="0016016B"/>
    <w:rsid w:val="00162D64"/>
    <w:rsid w:val="00162EDD"/>
    <w:rsid w:val="00163C46"/>
    <w:rsid w:val="00164C61"/>
    <w:rsid w:val="0016722A"/>
    <w:rsid w:val="001678BC"/>
    <w:rsid w:val="001704A3"/>
    <w:rsid w:val="00171257"/>
    <w:rsid w:val="00172115"/>
    <w:rsid w:val="00175D01"/>
    <w:rsid w:val="0017723B"/>
    <w:rsid w:val="001772FD"/>
    <w:rsid w:val="00177B67"/>
    <w:rsid w:val="00180EC5"/>
    <w:rsid w:val="00181B22"/>
    <w:rsid w:val="001831FE"/>
    <w:rsid w:val="001846C0"/>
    <w:rsid w:val="001850F2"/>
    <w:rsid w:val="001851DB"/>
    <w:rsid w:val="001855D9"/>
    <w:rsid w:val="0018631B"/>
    <w:rsid w:val="00192ABA"/>
    <w:rsid w:val="001955C7"/>
    <w:rsid w:val="00196DDF"/>
    <w:rsid w:val="001979F3"/>
    <w:rsid w:val="001A070B"/>
    <w:rsid w:val="001A0F55"/>
    <w:rsid w:val="001A36E5"/>
    <w:rsid w:val="001A3942"/>
    <w:rsid w:val="001A3B54"/>
    <w:rsid w:val="001A3ED6"/>
    <w:rsid w:val="001A5E5E"/>
    <w:rsid w:val="001A5F60"/>
    <w:rsid w:val="001A6181"/>
    <w:rsid w:val="001A7053"/>
    <w:rsid w:val="001A7122"/>
    <w:rsid w:val="001A7D6D"/>
    <w:rsid w:val="001B04FF"/>
    <w:rsid w:val="001B0E10"/>
    <w:rsid w:val="001B1AD0"/>
    <w:rsid w:val="001B2522"/>
    <w:rsid w:val="001B3107"/>
    <w:rsid w:val="001B3B9E"/>
    <w:rsid w:val="001B487E"/>
    <w:rsid w:val="001B73AB"/>
    <w:rsid w:val="001C0380"/>
    <w:rsid w:val="001C0501"/>
    <w:rsid w:val="001C4345"/>
    <w:rsid w:val="001C5235"/>
    <w:rsid w:val="001D2CB5"/>
    <w:rsid w:val="001D4D6D"/>
    <w:rsid w:val="001D4DFB"/>
    <w:rsid w:val="001E039C"/>
    <w:rsid w:val="001E2AE5"/>
    <w:rsid w:val="001E3364"/>
    <w:rsid w:val="001E35D0"/>
    <w:rsid w:val="001E3DAF"/>
    <w:rsid w:val="001E47ED"/>
    <w:rsid w:val="001E657C"/>
    <w:rsid w:val="001E6892"/>
    <w:rsid w:val="001E6B35"/>
    <w:rsid w:val="001E6DC9"/>
    <w:rsid w:val="001F027E"/>
    <w:rsid w:val="001F044A"/>
    <w:rsid w:val="001F0CD6"/>
    <w:rsid w:val="001F0ED3"/>
    <w:rsid w:val="001F1DC6"/>
    <w:rsid w:val="001F28D3"/>
    <w:rsid w:val="001F3B8F"/>
    <w:rsid w:val="001F6BAC"/>
    <w:rsid w:val="001F7437"/>
    <w:rsid w:val="0020004B"/>
    <w:rsid w:val="00200A82"/>
    <w:rsid w:val="00202599"/>
    <w:rsid w:val="00204EF1"/>
    <w:rsid w:val="0020552B"/>
    <w:rsid w:val="00205926"/>
    <w:rsid w:val="002064E0"/>
    <w:rsid w:val="0020746F"/>
    <w:rsid w:val="002107BE"/>
    <w:rsid w:val="00211677"/>
    <w:rsid w:val="002133B9"/>
    <w:rsid w:val="0021362A"/>
    <w:rsid w:val="00216031"/>
    <w:rsid w:val="0021740B"/>
    <w:rsid w:val="0022192C"/>
    <w:rsid w:val="00222E88"/>
    <w:rsid w:val="00222F0E"/>
    <w:rsid w:val="002260A4"/>
    <w:rsid w:val="00226BC0"/>
    <w:rsid w:val="00227071"/>
    <w:rsid w:val="00227AC1"/>
    <w:rsid w:val="00230377"/>
    <w:rsid w:val="00233B7D"/>
    <w:rsid w:val="0023412A"/>
    <w:rsid w:val="00234130"/>
    <w:rsid w:val="00234D44"/>
    <w:rsid w:val="0023593D"/>
    <w:rsid w:val="00236040"/>
    <w:rsid w:val="00236CA2"/>
    <w:rsid w:val="002404E5"/>
    <w:rsid w:val="0024091A"/>
    <w:rsid w:val="00240B68"/>
    <w:rsid w:val="00246458"/>
    <w:rsid w:val="00247DA6"/>
    <w:rsid w:val="0025067B"/>
    <w:rsid w:val="00253297"/>
    <w:rsid w:val="00256DF4"/>
    <w:rsid w:val="002573E6"/>
    <w:rsid w:val="00260A33"/>
    <w:rsid w:val="00262B5C"/>
    <w:rsid w:val="00264252"/>
    <w:rsid w:val="00264C03"/>
    <w:rsid w:val="00270DBB"/>
    <w:rsid w:val="002719B8"/>
    <w:rsid w:val="00271DEF"/>
    <w:rsid w:val="00273E2E"/>
    <w:rsid w:val="00277E25"/>
    <w:rsid w:val="00280741"/>
    <w:rsid w:val="00284449"/>
    <w:rsid w:val="0028698A"/>
    <w:rsid w:val="00286A4F"/>
    <w:rsid w:val="00287612"/>
    <w:rsid w:val="00287D4C"/>
    <w:rsid w:val="00290985"/>
    <w:rsid w:val="00290B11"/>
    <w:rsid w:val="00291A2E"/>
    <w:rsid w:val="00291FEF"/>
    <w:rsid w:val="002955EB"/>
    <w:rsid w:val="00296152"/>
    <w:rsid w:val="002A1B25"/>
    <w:rsid w:val="002A2491"/>
    <w:rsid w:val="002A4048"/>
    <w:rsid w:val="002A60E1"/>
    <w:rsid w:val="002A7DCA"/>
    <w:rsid w:val="002B1CF5"/>
    <w:rsid w:val="002B3688"/>
    <w:rsid w:val="002B5F70"/>
    <w:rsid w:val="002B6058"/>
    <w:rsid w:val="002C02D2"/>
    <w:rsid w:val="002C1479"/>
    <w:rsid w:val="002C2F6F"/>
    <w:rsid w:val="002C3FEE"/>
    <w:rsid w:val="002C438E"/>
    <w:rsid w:val="002C5707"/>
    <w:rsid w:val="002C7205"/>
    <w:rsid w:val="002C7518"/>
    <w:rsid w:val="002D18DC"/>
    <w:rsid w:val="002D2CDC"/>
    <w:rsid w:val="002D7643"/>
    <w:rsid w:val="002E07DD"/>
    <w:rsid w:val="002E15D9"/>
    <w:rsid w:val="002E17B9"/>
    <w:rsid w:val="002E2930"/>
    <w:rsid w:val="002E4C69"/>
    <w:rsid w:val="002E63D5"/>
    <w:rsid w:val="002E7561"/>
    <w:rsid w:val="002E7983"/>
    <w:rsid w:val="002F0F1D"/>
    <w:rsid w:val="002F21EB"/>
    <w:rsid w:val="002F23B8"/>
    <w:rsid w:val="002F3608"/>
    <w:rsid w:val="003028DC"/>
    <w:rsid w:val="00306CE5"/>
    <w:rsid w:val="00307B30"/>
    <w:rsid w:val="00310839"/>
    <w:rsid w:val="003110F8"/>
    <w:rsid w:val="00311628"/>
    <w:rsid w:val="00311A70"/>
    <w:rsid w:val="003125A7"/>
    <w:rsid w:val="00314D72"/>
    <w:rsid w:val="00315CF2"/>
    <w:rsid w:val="00316A0A"/>
    <w:rsid w:val="00316AE0"/>
    <w:rsid w:val="00317129"/>
    <w:rsid w:val="003171AE"/>
    <w:rsid w:val="0031775A"/>
    <w:rsid w:val="003204E5"/>
    <w:rsid w:val="003210F8"/>
    <w:rsid w:val="003221BC"/>
    <w:rsid w:val="00322697"/>
    <w:rsid w:val="00323866"/>
    <w:rsid w:val="00325575"/>
    <w:rsid w:val="00325EDE"/>
    <w:rsid w:val="0032623B"/>
    <w:rsid w:val="003265C2"/>
    <w:rsid w:val="00326B28"/>
    <w:rsid w:val="00326C7B"/>
    <w:rsid w:val="0033144A"/>
    <w:rsid w:val="00340041"/>
    <w:rsid w:val="00340250"/>
    <w:rsid w:val="00344BF3"/>
    <w:rsid w:val="003462CC"/>
    <w:rsid w:val="00347B54"/>
    <w:rsid w:val="00350B23"/>
    <w:rsid w:val="00350CED"/>
    <w:rsid w:val="003519C8"/>
    <w:rsid w:val="00351AE8"/>
    <w:rsid w:val="003529B2"/>
    <w:rsid w:val="00352C7F"/>
    <w:rsid w:val="00353729"/>
    <w:rsid w:val="00354E12"/>
    <w:rsid w:val="00356C3A"/>
    <w:rsid w:val="0035773C"/>
    <w:rsid w:val="00363593"/>
    <w:rsid w:val="00363C02"/>
    <w:rsid w:val="003666DB"/>
    <w:rsid w:val="00367DED"/>
    <w:rsid w:val="003710A3"/>
    <w:rsid w:val="0037176B"/>
    <w:rsid w:val="0037649F"/>
    <w:rsid w:val="00380633"/>
    <w:rsid w:val="00381D21"/>
    <w:rsid w:val="003820B0"/>
    <w:rsid w:val="0038432D"/>
    <w:rsid w:val="00387058"/>
    <w:rsid w:val="00390DE0"/>
    <w:rsid w:val="00390FE7"/>
    <w:rsid w:val="00391E06"/>
    <w:rsid w:val="003922EA"/>
    <w:rsid w:val="00392C83"/>
    <w:rsid w:val="003936DA"/>
    <w:rsid w:val="003970F2"/>
    <w:rsid w:val="003A18FD"/>
    <w:rsid w:val="003A33E0"/>
    <w:rsid w:val="003A568A"/>
    <w:rsid w:val="003A59C1"/>
    <w:rsid w:val="003A69B6"/>
    <w:rsid w:val="003A6FE1"/>
    <w:rsid w:val="003B0B14"/>
    <w:rsid w:val="003B2D9B"/>
    <w:rsid w:val="003B30F5"/>
    <w:rsid w:val="003B4E6C"/>
    <w:rsid w:val="003B685A"/>
    <w:rsid w:val="003C0756"/>
    <w:rsid w:val="003C224F"/>
    <w:rsid w:val="003C2E4B"/>
    <w:rsid w:val="003C3536"/>
    <w:rsid w:val="003C40F5"/>
    <w:rsid w:val="003C73B5"/>
    <w:rsid w:val="003C7527"/>
    <w:rsid w:val="003D06F9"/>
    <w:rsid w:val="003D1D72"/>
    <w:rsid w:val="003D1DAD"/>
    <w:rsid w:val="003D2DBD"/>
    <w:rsid w:val="003D414D"/>
    <w:rsid w:val="003D5489"/>
    <w:rsid w:val="003E07F6"/>
    <w:rsid w:val="003E2232"/>
    <w:rsid w:val="003E47E0"/>
    <w:rsid w:val="003E4B18"/>
    <w:rsid w:val="003E782F"/>
    <w:rsid w:val="003F0688"/>
    <w:rsid w:val="003F0C2A"/>
    <w:rsid w:val="003F0C9F"/>
    <w:rsid w:val="003F1F24"/>
    <w:rsid w:val="003F2BC2"/>
    <w:rsid w:val="003F3157"/>
    <w:rsid w:val="003F371E"/>
    <w:rsid w:val="003F3F81"/>
    <w:rsid w:val="003F43E4"/>
    <w:rsid w:val="003F4D09"/>
    <w:rsid w:val="003F5317"/>
    <w:rsid w:val="003F55F1"/>
    <w:rsid w:val="003F5E10"/>
    <w:rsid w:val="003F665E"/>
    <w:rsid w:val="00400657"/>
    <w:rsid w:val="0040325E"/>
    <w:rsid w:val="00405050"/>
    <w:rsid w:val="00405837"/>
    <w:rsid w:val="00405C22"/>
    <w:rsid w:val="00406326"/>
    <w:rsid w:val="00407A7B"/>
    <w:rsid w:val="00411D76"/>
    <w:rsid w:val="004138DD"/>
    <w:rsid w:val="004140AF"/>
    <w:rsid w:val="00414510"/>
    <w:rsid w:val="00414EF7"/>
    <w:rsid w:val="00417927"/>
    <w:rsid w:val="0042089B"/>
    <w:rsid w:val="0042315F"/>
    <w:rsid w:val="0042378A"/>
    <w:rsid w:val="00423995"/>
    <w:rsid w:val="004243AE"/>
    <w:rsid w:val="004277A4"/>
    <w:rsid w:val="004328EB"/>
    <w:rsid w:val="00433E95"/>
    <w:rsid w:val="004344C1"/>
    <w:rsid w:val="0043649B"/>
    <w:rsid w:val="00436B88"/>
    <w:rsid w:val="00437062"/>
    <w:rsid w:val="004379C9"/>
    <w:rsid w:val="00437A55"/>
    <w:rsid w:val="0044087C"/>
    <w:rsid w:val="00443EED"/>
    <w:rsid w:val="0044488C"/>
    <w:rsid w:val="00444BE6"/>
    <w:rsid w:val="00446595"/>
    <w:rsid w:val="00450AE3"/>
    <w:rsid w:val="00450FC3"/>
    <w:rsid w:val="004522DA"/>
    <w:rsid w:val="00452654"/>
    <w:rsid w:val="00457FCF"/>
    <w:rsid w:val="0046325B"/>
    <w:rsid w:val="004632BA"/>
    <w:rsid w:val="004646B2"/>
    <w:rsid w:val="00467C62"/>
    <w:rsid w:val="00467D18"/>
    <w:rsid w:val="004730DC"/>
    <w:rsid w:val="00474C82"/>
    <w:rsid w:val="00474E0E"/>
    <w:rsid w:val="00475FCB"/>
    <w:rsid w:val="004778C5"/>
    <w:rsid w:val="0047799D"/>
    <w:rsid w:val="00477BAF"/>
    <w:rsid w:val="0048024D"/>
    <w:rsid w:val="004843F3"/>
    <w:rsid w:val="004845CE"/>
    <w:rsid w:val="00490FB1"/>
    <w:rsid w:val="00491BA1"/>
    <w:rsid w:val="0049296B"/>
    <w:rsid w:val="0049324B"/>
    <w:rsid w:val="00497658"/>
    <w:rsid w:val="004A2AF1"/>
    <w:rsid w:val="004A4730"/>
    <w:rsid w:val="004B055F"/>
    <w:rsid w:val="004B4A5A"/>
    <w:rsid w:val="004B4CE9"/>
    <w:rsid w:val="004B5BB5"/>
    <w:rsid w:val="004B5E03"/>
    <w:rsid w:val="004B6193"/>
    <w:rsid w:val="004B77CC"/>
    <w:rsid w:val="004C043A"/>
    <w:rsid w:val="004C08B4"/>
    <w:rsid w:val="004C2901"/>
    <w:rsid w:val="004C35C0"/>
    <w:rsid w:val="004C6DFB"/>
    <w:rsid w:val="004D11E4"/>
    <w:rsid w:val="004D1B94"/>
    <w:rsid w:val="004D31AE"/>
    <w:rsid w:val="004D3432"/>
    <w:rsid w:val="004D3589"/>
    <w:rsid w:val="004D3F9D"/>
    <w:rsid w:val="004D50E4"/>
    <w:rsid w:val="004D632B"/>
    <w:rsid w:val="004D6BD9"/>
    <w:rsid w:val="004D7076"/>
    <w:rsid w:val="004E0D22"/>
    <w:rsid w:val="004E49BD"/>
    <w:rsid w:val="004E608F"/>
    <w:rsid w:val="004F15F9"/>
    <w:rsid w:val="004F4B32"/>
    <w:rsid w:val="004F4D32"/>
    <w:rsid w:val="004F5F86"/>
    <w:rsid w:val="004F645A"/>
    <w:rsid w:val="004F705F"/>
    <w:rsid w:val="004F71F4"/>
    <w:rsid w:val="004F79E4"/>
    <w:rsid w:val="004F7AEC"/>
    <w:rsid w:val="00500496"/>
    <w:rsid w:val="0050108A"/>
    <w:rsid w:val="00502545"/>
    <w:rsid w:val="005027A0"/>
    <w:rsid w:val="00502964"/>
    <w:rsid w:val="00510670"/>
    <w:rsid w:val="00512DA2"/>
    <w:rsid w:val="005134F2"/>
    <w:rsid w:val="00513D08"/>
    <w:rsid w:val="00516914"/>
    <w:rsid w:val="005206B0"/>
    <w:rsid w:val="005217E3"/>
    <w:rsid w:val="00521CDF"/>
    <w:rsid w:val="00522AE3"/>
    <w:rsid w:val="00523D17"/>
    <w:rsid w:val="00524237"/>
    <w:rsid w:val="005263D6"/>
    <w:rsid w:val="00530D7C"/>
    <w:rsid w:val="00531B81"/>
    <w:rsid w:val="005352D1"/>
    <w:rsid w:val="00536895"/>
    <w:rsid w:val="00540234"/>
    <w:rsid w:val="0054094A"/>
    <w:rsid w:val="00541DC4"/>
    <w:rsid w:val="00542379"/>
    <w:rsid w:val="005433CA"/>
    <w:rsid w:val="00544652"/>
    <w:rsid w:val="005462C2"/>
    <w:rsid w:val="00550ED0"/>
    <w:rsid w:val="00557AB7"/>
    <w:rsid w:val="0056032C"/>
    <w:rsid w:val="00563DC7"/>
    <w:rsid w:val="005668FC"/>
    <w:rsid w:val="00566EA7"/>
    <w:rsid w:val="00567017"/>
    <w:rsid w:val="0057309D"/>
    <w:rsid w:val="005732C5"/>
    <w:rsid w:val="005756EB"/>
    <w:rsid w:val="00575C1F"/>
    <w:rsid w:val="00576FBF"/>
    <w:rsid w:val="00577C97"/>
    <w:rsid w:val="0058179C"/>
    <w:rsid w:val="005824F5"/>
    <w:rsid w:val="005837DD"/>
    <w:rsid w:val="005842D0"/>
    <w:rsid w:val="005842DA"/>
    <w:rsid w:val="00586B84"/>
    <w:rsid w:val="00586C59"/>
    <w:rsid w:val="005874D6"/>
    <w:rsid w:val="00593542"/>
    <w:rsid w:val="005955C9"/>
    <w:rsid w:val="00596121"/>
    <w:rsid w:val="00597088"/>
    <w:rsid w:val="005A52DE"/>
    <w:rsid w:val="005A55F1"/>
    <w:rsid w:val="005A67D3"/>
    <w:rsid w:val="005A7691"/>
    <w:rsid w:val="005B2160"/>
    <w:rsid w:val="005B2979"/>
    <w:rsid w:val="005B2BF0"/>
    <w:rsid w:val="005B3E0B"/>
    <w:rsid w:val="005B567D"/>
    <w:rsid w:val="005B57C1"/>
    <w:rsid w:val="005B62D7"/>
    <w:rsid w:val="005C29D2"/>
    <w:rsid w:val="005C3489"/>
    <w:rsid w:val="005C39CA"/>
    <w:rsid w:val="005C4238"/>
    <w:rsid w:val="005C5EAC"/>
    <w:rsid w:val="005C61D4"/>
    <w:rsid w:val="005D05F5"/>
    <w:rsid w:val="005D560E"/>
    <w:rsid w:val="005D66A1"/>
    <w:rsid w:val="005D6D70"/>
    <w:rsid w:val="005E1311"/>
    <w:rsid w:val="005E372E"/>
    <w:rsid w:val="005E37FB"/>
    <w:rsid w:val="005E62E1"/>
    <w:rsid w:val="005E6C8F"/>
    <w:rsid w:val="005F196A"/>
    <w:rsid w:val="005F5473"/>
    <w:rsid w:val="005F6420"/>
    <w:rsid w:val="005F6B3D"/>
    <w:rsid w:val="005F7CF8"/>
    <w:rsid w:val="00602340"/>
    <w:rsid w:val="00602599"/>
    <w:rsid w:val="00603C5F"/>
    <w:rsid w:val="006059FB"/>
    <w:rsid w:val="00606477"/>
    <w:rsid w:val="00610057"/>
    <w:rsid w:val="006103A0"/>
    <w:rsid w:val="006115CE"/>
    <w:rsid w:val="0061212C"/>
    <w:rsid w:val="00612A9B"/>
    <w:rsid w:val="00612BA4"/>
    <w:rsid w:val="006134B6"/>
    <w:rsid w:val="00613A94"/>
    <w:rsid w:val="00617FA2"/>
    <w:rsid w:val="00620188"/>
    <w:rsid w:val="00620240"/>
    <w:rsid w:val="00620D8E"/>
    <w:rsid w:val="00620F13"/>
    <w:rsid w:val="00622046"/>
    <w:rsid w:val="0062270F"/>
    <w:rsid w:val="006232DF"/>
    <w:rsid w:val="0062355B"/>
    <w:rsid w:val="00624348"/>
    <w:rsid w:val="006245C6"/>
    <w:rsid w:val="0062650B"/>
    <w:rsid w:val="006274AC"/>
    <w:rsid w:val="00627CA3"/>
    <w:rsid w:val="0063189F"/>
    <w:rsid w:val="00631D5A"/>
    <w:rsid w:val="00632A1D"/>
    <w:rsid w:val="00632F85"/>
    <w:rsid w:val="00633718"/>
    <w:rsid w:val="006339CC"/>
    <w:rsid w:val="0063694A"/>
    <w:rsid w:val="00641184"/>
    <w:rsid w:val="006431F0"/>
    <w:rsid w:val="00643E8E"/>
    <w:rsid w:val="0064501C"/>
    <w:rsid w:val="00647336"/>
    <w:rsid w:val="00650AEE"/>
    <w:rsid w:val="00651FD4"/>
    <w:rsid w:val="006526A0"/>
    <w:rsid w:val="00654360"/>
    <w:rsid w:val="00654B8D"/>
    <w:rsid w:val="00655CCA"/>
    <w:rsid w:val="006579EB"/>
    <w:rsid w:val="00657E66"/>
    <w:rsid w:val="00661694"/>
    <w:rsid w:val="00662A38"/>
    <w:rsid w:val="00662DB3"/>
    <w:rsid w:val="0066708D"/>
    <w:rsid w:val="00667941"/>
    <w:rsid w:val="00667FDB"/>
    <w:rsid w:val="006703B2"/>
    <w:rsid w:val="00670AC5"/>
    <w:rsid w:val="00671567"/>
    <w:rsid w:val="0067689B"/>
    <w:rsid w:val="00676FC5"/>
    <w:rsid w:val="00682D85"/>
    <w:rsid w:val="00687123"/>
    <w:rsid w:val="006924C6"/>
    <w:rsid w:val="00692EAF"/>
    <w:rsid w:val="00693047"/>
    <w:rsid w:val="0069590A"/>
    <w:rsid w:val="006970BB"/>
    <w:rsid w:val="006A0F22"/>
    <w:rsid w:val="006A125E"/>
    <w:rsid w:val="006A140F"/>
    <w:rsid w:val="006A43AA"/>
    <w:rsid w:val="006A48D1"/>
    <w:rsid w:val="006A4D55"/>
    <w:rsid w:val="006A4D6B"/>
    <w:rsid w:val="006A4FDE"/>
    <w:rsid w:val="006A7C51"/>
    <w:rsid w:val="006B0D6B"/>
    <w:rsid w:val="006B0EE3"/>
    <w:rsid w:val="006B1B17"/>
    <w:rsid w:val="006B1F56"/>
    <w:rsid w:val="006B2A2D"/>
    <w:rsid w:val="006B30BB"/>
    <w:rsid w:val="006B4E86"/>
    <w:rsid w:val="006B5C3E"/>
    <w:rsid w:val="006B67C6"/>
    <w:rsid w:val="006B7394"/>
    <w:rsid w:val="006C1452"/>
    <w:rsid w:val="006C2C5F"/>
    <w:rsid w:val="006C47D8"/>
    <w:rsid w:val="006C63CB"/>
    <w:rsid w:val="006C6806"/>
    <w:rsid w:val="006C6F7E"/>
    <w:rsid w:val="006C7AD4"/>
    <w:rsid w:val="006D1037"/>
    <w:rsid w:val="006D11CF"/>
    <w:rsid w:val="006D1766"/>
    <w:rsid w:val="006D1863"/>
    <w:rsid w:val="006E2457"/>
    <w:rsid w:val="006E329A"/>
    <w:rsid w:val="006E35AB"/>
    <w:rsid w:val="006F1E27"/>
    <w:rsid w:val="006F2A5A"/>
    <w:rsid w:val="006F36B0"/>
    <w:rsid w:val="006F4FBB"/>
    <w:rsid w:val="006F7ACA"/>
    <w:rsid w:val="00700C45"/>
    <w:rsid w:val="00700CD0"/>
    <w:rsid w:val="007027CB"/>
    <w:rsid w:val="0070373B"/>
    <w:rsid w:val="00703AD0"/>
    <w:rsid w:val="0070455F"/>
    <w:rsid w:val="00704D4A"/>
    <w:rsid w:val="007058FB"/>
    <w:rsid w:val="007072E5"/>
    <w:rsid w:val="007076D4"/>
    <w:rsid w:val="00714203"/>
    <w:rsid w:val="00714314"/>
    <w:rsid w:val="00714B66"/>
    <w:rsid w:val="00715433"/>
    <w:rsid w:val="0071620D"/>
    <w:rsid w:val="00716AFD"/>
    <w:rsid w:val="00722024"/>
    <w:rsid w:val="00722EFF"/>
    <w:rsid w:val="00724707"/>
    <w:rsid w:val="007268BA"/>
    <w:rsid w:val="007273B8"/>
    <w:rsid w:val="00727524"/>
    <w:rsid w:val="00730020"/>
    <w:rsid w:val="007308CC"/>
    <w:rsid w:val="00731FB3"/>
    <w:rsid w:val="0073442A"/>
    <w:rsid w:val="00734711"/>
    <w:rsid w:val="00734D6B"/>
    <w:rsid w:val="007365C1"/>
    <w:rsid w:val="00743BBD"/>
    <w:rsid w:val="0074699F"/>
    <w:rsid w:val="007471AE"/>
    <w:rsid w:val="0074795B"/>
    <w:rsid w:val="00747A9F"/>
    <w:rsid w:val="00747BDA"/>
    <w:rsid w:val="0075218B"/>
    <w:rsid w:val="00753106"/>
    <w:rsid w:val="00756C08"/>
    <w:rsid w:val="00757B42"/>
    <w:rsid w:val="00761D87"/>
    <w:rsid w:val="00763F51"/>
    <w:rsid w:val="00773253"/>
    <w:rsid w:val="007745EF"/>
    <w:rsid w:val="0077664E"/>
    <w:rsid w:val="0077689E"/>
    <w:rsid w:val="0078148E"/>
    <w:rsid w:val="007831D0"/>
    <w:rsid w:val="00790AAE"/>
    <w:rsid w:val="007918BA"/>
    <w:rsid w:val="00793FD9"/>
    <w:rsid w:val="007948F3"/>
    <w:rsid w:val="00794FA4"/>
    <w:rsid w:val="00794FD0"/>
    <w:rsid w:val="007976B4"/>
    <w:rsid w:val="00797ACB"/>
    <w:rsid w:val="007A008A"/>
    <w:rsid w:val="007A11C7"/>
    <w:rsid w:val="007A215B"/>
    <w:rsid w:val="007A30D5"/>
    <w:rsid w:val="007A368B"/>
    <w:rsid w:val="007A4C6D"/>
    <w:rsid w:val="007A7F35"/>
    <w:rsid w:val="007B059E"/>
    <w:rsid w:val="007B2DB2"/>
    <w:rsid w:val="007B5575"/>
    <w:rsid w:val="007B5B99"/>
    <w:rsid w:val="007B6657"/>
    <w:rsid w:val="007C309D"/>
    <w:rsid w:val="007C366D"/>
    <w:rsid w:val="007C3E67"/>
    <w:rsid w:val="007C5B62"/>
    <w:rsid w:val="007C6800"/>
    <w:rsid w:val="007C77CD"/>
    <w:rsid w:val="007D05DB"/>
    <w:rsid w:val="007D0D2A"/>
    <w:rsid w:val="007D0E3A"/>
    <w:rsid w:val="007D21BF"/>
    <w:rsid w:val="007D2DB6"/>
    <w:rsid w:val="007D79DE"/>
    <w:rsid w:val="007D7F78"/>
    <w:rsid w:val="007E1B5E"/>
    <w:rsid w:val="007E4732"/>
    <w:rsid w:val="007E68F0"/>
    <w:rsid w:val="007E70D1"/>
    <w:rsid w:val="007F18E1"/>
    <w:rsid w:val="007F1B36"/>
    <w:rsid w:val="007F1F5F"/>
    <w:rsid w:val="007F27AC"/>
    <w:rsid w:val="007F2D07"/>
    <w:rsid w:val="007F4727"/>
    <w:rsid w:val="007F6495"/>
    <w:rsid w:val="007F67A7"/>
    <w:rsid w:val="007F76A2"/>
    <w:rsid w:val="0080072C"/>
    <w:rsid w:val="00801ED0"/>
    <w:rsid w:val="00801F18"/>
    <w:rsid w:val="00806AC0"/>
    <w:rsid w:val="00807CA4"/>
    <w:rsid w:val="00811606"/>
    <w:rsid w:val="00812072"/>
    <w:rsid w:val="00813429"/>
    <w:rsid w:val="008134D3"/>
    <w:rsid w:val="0081591D"/>
    <w:rsid w:val="0082078C"/>
    <w:rsid w:val="00820F96"/>
    <w:rsid w:val="00822453"/>
    <w:rsid w:val="008225C6"/>
    <w:rsid w:val="008234B7"/>
    <w:rsid w:val="00823896"/>
    <w:rsid w:val="008260F8"/>
    <w:rsid w:val="008262E8"/>
    <w:rsid w:val="00826667"/>
    <w:rsid w:val="008307BC"/>
    <w:rsid w:val="00833DF6"/>
    <w:rsid w:val="00834E8C"/>
    <w:rsid w:val="00837C61"/>
    <w:rsid w:val="00840329"/>
    <w:rsid w:val="00843895"/>
    <w:rsid w:val="00843BA4"/>
    <w:rsid w:val="008451E8"/>
    <w:rsid w:val="00852F78"/>
    <w:rsid w:val="00854B0C"/>
    <w:rsid w:val="00855E33"/>
    <w:rsid w:val="00861FD7"/>
    <w:rsid w:val="00864A83"/>
    <w:rsid w:val="00864FF4"/>
    <w:rsid w:val="00865623"/>
    <w:rsid w:val="008751A0"/>
    <w:rsid w:val="0087788D"/>
    <w:rsid w:val="00880C0D"/>
    <w:rsid w:val="00881E2E"/>
    <w:rsid w:val="00882DEB"/>
    <w:rsid w:val="00882E56"/>
    <w:rsid w:val="00883CA0"/>
    <w:rsid w:val="00884692"/>
    <w:rsid w:val="00886F2E"/>
    <w:rsid w:val="008877AB"/>
    <w:rsid w:val="00887C2A"/>
    <w:rsid w:val="00891C49"/>
    <w:rsid w:val="00891FD6"/>
    <w:rsid w:val="008952FD"/>
    <w:rsid w:val="0089684C"/>
    <w:rsid w:val="008A164D"/>
    <w:rsid w:val="008A1B1B"/>
    <w:rsid w:val="008A48FD"/>
    <w:rsid w:val="008A53E5"/>
    <w:rsid w:val="008A6EBE"/>
    <w:rsid w:val="008A7335"/>
    <w:rsid w:val="008B1AC2"/>
    <w:rsid w:val="008B1F94"/>
    <w:rsid w:val="008B2366"/>
    <w:rsid w:val="008B3E3D"/>
    <w:rsid w:val="008B602A"/>
    <w:rsid w:val="008B6CBF"/>
    <w:rsid w:val="008C11E3"/>
    <w:rsid w:val="008C1EC4"/>
    <w:rsid w:val="008C2FC8"/>
    <w:rsid w:val="008C3F46"/>
    <w:rsid w:val="008C4514"/>
    <w:rsid w:val="008C5717"/>
    <w:rsid w:val="008D0EED"/>
    <w:rsid w:val="008D2245"/>
    <w:rsid w:val="008D3582"/>
    <w:rsid w:val="008D3F1D"/>
    <w:rsid w:val="008D52A4"/>
    <w:rsid w:val="008D6940"/>
    <w:rsid w:val="008D7A44"/>
    <w:rsid w:val="008E0608"/>
    <w:rsid w:val="008E1957"/>
    <w:rsid w:val="008E209E"/>
    <w:rsid w:val="008E23DE"/>
    <w:rsid w:val="008E3A39"/>
    <w:rsid w:val="008E3DBE"/>
    <w:rsid w:val="008E46D9"/>
    <w:rsid w:val="008E74C8"/>
    <w:rsid w:val="008E7ABF"/>
    <w:rsid w:val="008F0A02"/>
    <w:rsid w:val="008F2E69"/>
    <w:rsid w:val="008F4B2A"/>
    <w:rsid w:val="008F5EE7"/>
    <w:rsid w:val="008F62D2"/>
    <w:rsid w:val="00900F80"/>
    <w:rsid w:val="00906AC8"/>
    <w:rsid w:val="00906D99"/>
    <w:rsid w:val="0090726B"/>
    <w:rsid w:val="00922443"/>
    <w:rsid w:val="00924739"/>
    <w:rsid w:val="00926976"/>
    <w:rsid w:val="009272A0"/>
    <w:rsid w:val="00927DE7"/>
    <w:rsid w:val="00930973"/>
    <w:rsid w:val="00930DAC"/>
    <w:rsid w:val="00931207"/>
    <w:rsid w:val="00932C7F"/>
    <w:rsid w:val="009333EA"/>
    <w:rsid w:val="009356FF"/>
    <w:rsid w:val="00936D9F"/>
    <w:rsid w:val="0094150F"/>
    <w:rsid w:val="009418D0"/>
    <w:rsid w:val="0094456E"/>
    <w:rsid w:val="00944B64"/>
    <w:rsid w:val="00951721"/>
    <w:rsid w:val="00951853"/>
    <w:rsid w:val="009541E4"/>
    <w:rsid w:val="00954419"/>
    <w:rsid w:val="009561E7"/>
    <w:rsid w:val="0095756C"/>
    <w:rsid w:val="009676FD"/>
    <w:rsid w:val="00971EE0"/>
    <w:rsid w:val="0097295C"/>
    <w:rsid w:val="009734CE"/>
    <w:rsid w:val="00974034"/>
    <w:rsid w:val="00974EBB"/>
    <w:rsid w:val="00975241"/>
    <w:rsid w:val="009761B4"/>
    <w:rsid w:val="00976CBC"/>
    <w:rsid w:val="00976D1B"/>
    <w:rsid w:val="00977984"/>
    <w:rsid w:val="00983549"/>
    <w:rsid w:val="0098383A"/>
    <w:rsid w:val="00983F69"/>
    <w:rsid w:val="009842DF"/>
    <w:rsid w:val="00985038"/>
    <w:rsid w:val="00986486"/>
    <w:rsid w:val="009937B2"/>
    <w:rsid w:val="009A02C5"/>
    <w:rsid w:val="009A10E8"/>
    <w:rsid w:val="009A20C0"/>
    <w:rsid w:val="009A358E"/>
    <w:rsid w:val="009A4EC8"/>
    <w:rsid w:val="009A53A1"/>
    <w:rsid w:val="009A569A"/>
    <w:rsid w:val="009A6B0D"/>
    <w:rsid w:val="009A77A4"/>
    <w:rsid w:val="009B0670"/>
    <w:rsid w:val="009B16D6"/>
    <w:rsid w:val="009B1AC3"/>
    <w:rsid w:val="009B2E39"/>
    <w:rsid w:val="009B320A"/>
    <w:rsid w:val="009B615D"/>
    <w:rsid w:val="009B7343"/>
    <w:rsid w:val="009C0B2B"/>
    <w:rsid w:val="009C43A5"/>
    <w:rsid w:val="009C4E1F"/>
    <w:rsid w:val="009C4E45"/>
    <w:rsid w:val="009C5695"/>
    <w:rsid w:val="009C72BB"/>
    <w:rsid w:val="009D028E"/>
    <w:rsid w:val="009D10AC"/>
    <w:rsid w:val="009D2822"/>
    <w:rsid w:val="009D291D"/>
    <w:rsid w:val="009D406E"/>
    <w:rsid w:val="009D4461"/>
    <w:rsid w:val="009D59EE"/>
    <w:rsid w:val="009D6796"/>
    <w:rsid w:val="009D6CB5"/>
    <w:rsid w:val="009D708F"/>
    <w:rsid w:val="009D7E24"/>
    <w:rsid w:val="009E0E67"/>
    <w:rsid w:val="009E1007"/>
    <w:rsid w:val="009E1CCF"/>
    <w:rsid w:val="009E250E"/>
    <w:rsid w:val="009E343A"/>
    <w:rsid w:val="009E53A9"/>
    <w:rsid w:val="009E5C53"/>
    <w:rsid w:val="009F075E"/>
    <w:rsid w:val="009F1AAF"/>
    <w:rsid w:val="009F2790"/>
    <w:rsid w:val="009F37D8"/>
    <w:rsid w:val="009F5233"/>
    <w:rsid w:val="009F6595"/>
    <w:rsid w:val="009F7EA8"/>
    <w:rsid w:val="00A00108"/>
    <w:rsid w:val="00A003EC"/>
    <w:rsid w:val="00A02D1F"/>
    <w:rsid w:val="00A03933"/>
    <w:rsid w:val="00A048F2"/>
    <w:rsid w:val="00A05826"/>
    <w:rsid w:val="00A06CBD"/>
    <w:rsid w:val="00A06E05"/>
    <w:rsid w:val="00A06FA7"/>
    <w:rsid w:val="00A1165E"/>
    <w:rsid w:val="00A159DB"/>
    <w:rsid w:val="00A17668"/>
    <w:rsid w:val="00A21414"/>
    <w:rsid w:val="00A233D3"/>
    <w:rsid w:val="00A252B3"/>
    <w:rsid w:val="00A258D2"/>
    <w:rsid w:val="00A26D37"/>
    <w:rsid w:val="00A27CE6"/>
    <w:rsid w:val="00A27FC9"/>
    <w:rsid w:val="00A30D50"/>
    <w:rsid w:val="00A32639"/>
    <w:rsid w:val="00A3608B"/>
    <w:rsid w:val="00A37DED"/>
    <w:rsid w:val="00A41DEE"/>
    <w:rsid w:val="00A435B7"/>
    <w:rsid w:val="00A43C1C"/>
    <w:rsid w:val="00A44EB4"/>
    <w:rsid w:val="00A457A6"/>
    <w:rsid w:val="00A4636F"/>
    <w:rsid w:val="00A4689E"/>
    <w:rsid w:val="00A47213"/>
    <w:rsid w:val="00A47568"/>
    <w:rsid w:val="00A51524"/>
    <w:rsid w:val="00A537B1"/>
    <w:rsid w:val="00A56639"/>
    <w:rsid w:val="00A568E0"/>
    <w:rsid w:val="00A56925"/>
    <w:rsid w:val="00A5748D"/>
    <w:rsid w:val="00A65964"/>
    <w:rsid w:val="00A66378"/>
    <w:rsid w:val="00A666F7"/>
    <w:rsid w:val="00A67D63"/>
    <w:rsid w:val="00A70A81"/>
    <w:rsid w:val="00A71494"/>
    <w:rsid w:val="00A7289A"/>
    <w:rsid w:val="00A72C9A"/>
    <w:rsid w:val="00A731F5"/>
    <w:rsid w:val="00A73A9B"/>
    <w:rsid w:val="00A74150"/>
    <w:rsid w:val="00A74174"/>
    <w:rsid w:val="00A74291"/>
    <w:rsid w:val="00A7448C"/>
    <w:rsid w:val="00A752A7"/>
    <w:rsid w:val="00A7625D"/>
    <w:rsid w:val="00A770D4"/>
    <w:rsid w:val="00A77BDC"/>
    <w:rsid w:val="00A8083A"/>
    <w:rsid w:val="00A85EF1"/>
    <w:rsid w:val="00A87222"/>
    <w:rsid w:val="00A94437"/>
    <w:rsid w:val="00A94F36"/>
    <w:rsid w:val="00AA0694"/>
    <w:rsid w:val="00AA1234"/>
    <w:rsid w:val="00AA179A"/>
    <w:rsid w:val="00AA1B22"/>
    <w:rsid w:val="00AA1C49"/>
    <w:rsid w:val="00AA2388"/>
    <w:rsid w:val="00AA2472"/>
    <w:rsid w:val="00AA2B11"/>
    <w:rsid w:val="00AA2CBB"/>
    <w:rsid w:val="00AA2FA0"/>
    <w:rsid w:val="00AB1515"/>
    <w:rsid w:val="00AB151A"/>
    <w:rsid w:val="00AB23EE"/>
    <w:rsid w:val="00AB31E6"/>
    <w:rsid w:val="00AB363F"/>
    <w:rsid w:val="00AB50B4"/>
    <w:rsid w:val="00AB5419"/>
    <w:rsid w:val="00AB578E"/>
    <w:rsid w:val="00AB583A"/>
    <w:rsid w:val="00AB5D88"/>
    <w:rsid w:val="00AB5E28"/>
    <w:rsid w:val="00AB6602"/>
    <w:rsid w:val="00AB679A"/>
    <w:rsid w:val="00AC2BD5"/>
    <w:rsid w:val="00AC37EB"/>
    <w:rsid w:val="00AC43CB"/>
    <w:rsid w:val="00AC70B8"/>
    <w:rsid w:val="00AC742B"/>
    <w:rsid w:val="00AD0B2F"/>
    <w:rsid w:val="00AD2868"/>
    <w:rsid w:val="00AD3040"/>
    <w:rsid w:val="00AD4C63"/>
    <w:rsid w:val="00AD64D6"/>
    <w:rsid w:val="00AD7BC1"/>
    <w:rsid w:val="00AE14E1"/>
    <w:rsid w:val="00AE2B6A"/>
    <w:rsid w:val="00AE35F9"/>
    <w:rsid w:val="00AE60C3"/>
    <w:rsid w:val="00AF4708"/>
    <w:rsid w:val="00AF4AD7"/>
    <w:rsid w:val="00AF4F33"/>
    <w:rsid w:val="00AF6063"/>
    <w:rsid w:val="00B00891"/>
    <w:rsid w:val="00B0290D"/>
    <w:rsid w:val="00B02E32"/>
    <w:rsid w:val="00B032F5"/>
    <w:rsid w:val="00B034D7"/>
    <w:rsid w:val="00B05E2B"/>
    <w:rsid w:val="00B065ED"/>
    <w:rsid w:val="00B06A30"/>
    <w:rsid w:val="00B06DDC"/>
    <w:rsid w:val="00B101B3"/>
    <w:rsid w:val="00B10608"/>
    <w:rsid w:val="00B1263A"/>
    <w:rsid w:val="00B14894"/>
    <w:rsid w:val="00B16F7E"/>
    <w:rsid w:val="00B20953"/>
    <w:rsid w:val="00B20ADB"/>
    <w:rsid w:val="00B22EFA"/>
    <w:rsid w:val="00B2538A"/>
    <w:rsid w:val="00B27593"/>
    <w:rsid w:val="00B3130B"/>
    <w:rsid w:val="00B316C1"/>
    <w:rsid w:val="00B34E08"/>
    <w:rsid w:val="00B35ADB"/>
    <w:rsid w:val="00B365F2"/>
    <w:rsid w:val="00B36D33"/>
    <w:rsid w:val="00B415BF"/>
    <w:rsid w:val="00B42F8B"/>
    <w:rsid w:val="00B44755"/>
    <w:rsid w:val="00B44A52"/>
    <w:rsid w:val="00B45B99"/>
    <w:rsid w:val="00B50B21"/>
    <w:rsid w:val="00B52019"/>
    <w:rsid w:val="00B55029"/>
    <w:rsid w:val="00B568C5"/>
    <w:rsid w:val="00B5707E"/>
    <w:rsid w:val="00B63495"/>
    <w:rsid w:val="00B64747"/>
    <w:rsid w:val="00B70183"/>
    <w:rsid w:val="00B72403"/>
    <w:rsid w:val="00B724C7"/>
    <w:rsid w:val="00B727D4"/>
    <w:rsid w:val="00B72AB8"/>
    <w:rsid w:val="00B747C4"/>
    <w:rsid w:val="00B7595A"/>
    <w:rsid w:val="00B76BDB"/>
    <w:rsid w:val="00B7775D"/>
    <w:rsid w:val="00B81A38"/>
    <w:rsid w:val="00B8568A"/>
    <w:rsid w:val="00B86D4E"/>
    <w:rsid w:val="00B87E35"/>
    <w:rsid w:val="00B91BCA"/>
    <w:rsid w:val="00B91EDC"/>
    <w:rsid w:val="00B923A0"/>
    <w:rsid w:val="00B96FB6"/>
    <w:rsid w:val="00B9789E"/>
    <w:rsid w:val="00BA00DD"/>
    <w:rsid w:val="00BA173E"/>
    <w:rsid w:val="00BA2B38"/>
    <w:rsid w:val="00BA3F52"/>
    <w:rsid w:val="00BA4645"/>
    <w:rsid w:val="00BB6A1F"/>
    <w:rsid w:val="00BC1241"/>
    <w:rsid w:val="00BC16DC"/>
    <w:rsid w:val="00BC2ED2"/>
    <w:rsid w:val="00BC3069"/>
    <w:rsid w:val="00BC3F91"/>
    <w:rsid w:val="00BC564D"/>
    <w:rsid w:val="00BC5746"/>
    <w:rsid w:val="00BC5C10"/>
    <w:rsid w:val="00BC6912"/>
    <w:rsid w:val="00BC7EFE"/>
    <w:rsid w:val="00BD4A0A"/>
    <w:rsid w:val="00BD602E"/>
    <w:rsid w:val="00BD6D9E"/>
    <w:rsid w:val="00BD7E53"/>
    <w:rsid w:val="00BE28A7"/>
    <w:rsid w:val="00BE2EA9"/>
    <w:rsid w:val="00BE4B1C"/>
    <w:rsid w:val="00BE77D7"/>
    <w:rsid w:val="00BF170C"/>
    <w:rsid w:val="00BF1FC7"/>
    <w:rsid w:val="00BF24C3"/>
    <w:rsid w:val="00BF2757"/>
    <w:rsid w:val="00BF40FA"/>
    <w:rsid w:val="00BF4822"/>
    <w:rsid w:val="00BF67F7"/>
    <w:rsid w:val="00BF6C48"/>
    <w:rsid w:val="00BF6DB3"/>
    <w:rsid w:val="00C012CF"/>
    <w:rsid w:val="00C03716"/>
    <w:rsid w:val="00C07B24"/>
    <w:rsid w:val="00C07F7F"/>
    <w:rsid w:val="00C10427"/>
    <w:rsid w:val="00C11226"/>
    <w:rsid w:val="00C13AC7"/>
    <w:rsid w:val="00C173A2"/>
    <w:rsid w:val="00C17EF4"/>
    <w:rsid w:val="00C21B84"/>
    <w:rsid w:val="00C22024"/>
    <w:rsid w:val="00C2661B"/>
    <w:rsid w:val="00C3096E"/>
    <w:rsid w:val="00C3170F"/>
    <w:rsid w:val="00C3525D"/>
    <w:rsid w:val="00C37480"/>
    <w:rsid w:val="00C377DB"/>
    <w:rsid w:val="00C4160E"/>
    <w:rsid w:val="00C42E4F"/>
    <w:rsid w:val="00C52713"/>
    <w:rsid w:val="00C549E1"/>
    <w:rsid w:val="00C57C08"/>
    <w:rsid w:val="00C60066"/>
    <w:rsid w:val="00C60718"/>
    <w:rsid w:val="00C60CF6"/>
    <w:rsid w:val="00C62BF5"/>
    <w:rsid w:val="00C64BB6"/>
    <w:rsid w:val="00C64EE4"/>
    <w:rsid w:val="00C653CE"/>
    <w:rsid w:val="00C65F28"/>
    <w:rsid w:val="00C6795D"/>
    <w:rsid w:val="00C67F36"/>
    <w:rsid w:val="00C712EE"/>
    <w:rsid w:val="00C723A8"/>
    <w:rsid w:val="00C75527"/>
    <w:rsid w:val="00C76147"/>
    <w:rsid w:val="00C76E79"/>
    <w:rsid w:val="00C81716"/>
    <w:rsid w:val="00C82281"/>
    <w:rsid w:val="00C8279B"/>
    <w:rsid w:val="00C843B4"/>
    <w:rsid w:val="00C84E43"/>
    <w:rsid w:val="00C855A3"/>
    <w:rsid w:val="00C85C34"/>
    <w:rsid w:val="00C867FE"/>
    <w:rsid w:val="00C877D9"/>
    <w:rsid w:val="00C87B55"/>
    <w:rsid w:val="00C91B82"/>
    <w:rsid w:val="00C935F2"/>
    <w:rsid w:val="00CA0B17"/>
    <w:rsid w:val="00CA0F26"/>
    <w:rsid w:val="00CA22BD"/>
    <w:rsid w:val="00CA2406"/>
    <w:rsid w:val="00CA297E"/>
    <w:rsid w:val="00CA50D6"/>
    <w:rsid w:val="00CA77B8"/>
    <w:rsid w:val="00CA7CF3"/>
    <w:rsid w:val="00CB0360"/>
    <w:rsid w:val="00CB1321"/>
    <w:rsid w:val="00CB2F96"/>
    <w:rsid w:val="00CB4172"/>
    <w:rsid w:val="00CB6195"/>
    <w:rsid w:val="00CB6BBA"/>
    <w:rsid w:val="00CB70AD"/>
    <w:rsid w:val="00CB7CA2"/>
    <w:rsid w:val="00CC08D6"/>
    <w:rsid w:val="00CC0920"/>
    <w:rsid w:val="00CC19DC"/>
    <w:rsid w:val="00CC29BC"/>
    <w:rsid w:val="00CC31D0"/>
    <w:rsid w:val="00CC4776"/>
    <w:rsid w:val="00CC4CB5"/>
    <w:rsid w:val="00CC5E2E"/>
    <w:rsid w:val="00CD01A2"/>
    <w:rsid w:val="00CD0EA5"/>
    <w:rsid w:val="00CD0F15"/>
    <w:rsid w:val="00CD0F57"/>
    <w:rsid w:val="00CD4118"/>
    <w:rsid w:val="00CD4D11"/>
    <w:rsid w:val="00CE16BE"/>
    <w:rsid w:val="00CE1979"/>
    <w:rsid w:val="00CE7E7D"/>
    <w:rsid w:val="00CF0044"/>
    <w:rsid w:val="00CF0133"/>
    <w:rsid w:val="00CF1950"/>
    <w:rsid w:val="00CF1E75"/>
    <w:rsid w:val="00CF3701"/>
    <w:rsid w:val="00CF490A"/>
    <w:rsid w:val="00CF4B75"/>
    <w:rsid w:val="00D0123D"/>
    <w:rsid w:val="00D02382"/>
    <w:rsid w:val="00D028D6"/>
    <w:rsid w:val="00D02FC9"/>
    <w:rsid w:val="00D05792"/>
    <w:rsid w:val="00D05CED"/>
    <w:rsid w:val="00D0610F"/>
    <w:rsid w:val="00D124FB"/>
    <w:rsid w:val="00D12923"/>
    <w:rsid w:val="00D13116"/>
    <w:rsid w:val="00D14D22"/>
    <w:rsid w:val="00D169AB"/>
    <w:rsid w:val="00D16E6D"/>
    <w:rsid w:val="00D20462"/>
    <w:rsid w:val="00D208D4"/>
    <w:rsid w:val="00D21BD2"/>
    <w:rsid w:val="00D23C00"/>
    <w:rsid w:val="00D24D8B"/>
    <w:rsid w:val="00D25B9E"/>
    <w:rsid w:val="00D27662"/>
    <w:rsid w:val="00D3210C"/>
    <w:rsid w:val="00D345A8"/>
    <w:rsid w:val="00D365F2"/>
    <w:rsid w:val="00D458AE"/>
    <w:rsid w:val="00D45EFD"/>
    <w:rsid w:val="00D50094"/>
    <w:rsid w:val="00D55D8E"/>
    <w:rsid w:val="00D56C01"/>
    <w:rsid w:val="00D57328"/>
    <w:rsid w:val="00D6068C"/>
    <w:rsid w:val="00D6406A"/>
    <w:rsid w:val="00D645F1"/>
    <w:rsid w:val="00D64FFD"/>
    <w:rsid w:val="00D7094C"/>
    <w:rsid w:val="00D714BA"/>
    <w:rsid w:val="00D74757"/>
    <w:rsid w:val="00D75649"/>
    <w:rsid w:val="00D76770"/>
    <w:rsid w:val="00D77185"/>
    <w:rsid w:val="00D773B9"/>
    <w:rsid w:val="00D77856"/>
    <w:rsid w:val="00D779B8"/>
    <w:rsid w:val="00D77D83"/>
    <w:rsid w:val="00D8107E"/>
    <w:rsid w:val="00D81C63"/>
    <w:rsid w:val="00D82F03"/>
    <w:rsid w:val="00D83104"/>
    <w:rsid w:val="00D837B2"/>
    <w:rsid w:val="00D84BB0"/>
    <w:rsid w:val="00D93E9A"/>
    <w:rsid w:val="00D94AB1"/>
    <w:rsid w:val="00D94E72"/>
    <w:rsid w:val="00D9726C"/>
    <w:rsid w:val="00DA1543"/>
    <w:rsid w:val="00DA27FF"/>
    <w:rsid w:val="00DA2DC6"/>
    <w:rsid w:val="00DA3109"/>
    <w:rsid w:val="00DA529E"/>
    <w:rsid w:val="00DA698B"/>
    <w:rsid w:val="00DA6A0B"/>
    <w:rsid w:val="00DA7890"/>
    <w:rsid w:val="00DB11BE"/>
    <w:rsid w:val="00DB22A4"/>
    <w:rsid w:val="00DB2A0D"/>
    <w:rsid w:val="00DB49CE"/>
    <w:rsid w:val="00DB6605"/>
    <w:rsid w:val="00DB6BF6"/>
    <w:rsid w:val="00DC4855"/>
    <w:rsid w:val="00DC5CC1"/>
    <w:rsid w:val="00DC6263"/>
    <w:rsid w:val="00DC6649"/>
    <w:rsid w:val="00DC6AD7"/>
    <w:rsid w:val="00DC764C"/>
    <w:rsid w:val="00DC7690"/>
    <w:rsid w:val="00DC7F55"/>
    <w:rsid w:val="00DD2578"/>
    <w:rsid w:val="00DD2903"/>
    <w:rsid w:val="00DD2DA2"/>
    <w:rsid w:val="00DD6783"/>
    <w:rsid w:val="00DE2E2C"/>
    <w:rsid w:val="00DE5E1A"/>
    <w:rsid w:val="00DE6FEE"/>
    <w:rsid w:val="00DE752A"/>
    <w:rsid w:val="00DF0302"/>
    <w:rsid w:val="00DF077B"/>
    <w:rsid w:val="00DF302B"/>
    <w:rsid w:val="00DF3242"/>
    <w:rsid w:val="00DF39AA"/>
    <w:rsid w:val="00DF5249"/>
    <w:rsid w:val="00DF74F1"/>
    <w:rsid w:val="00E00114"/>
    <w:rsid w:val="00E0305D"/>
    <w:rsid w:val="00E052C3"/>
    <w:rsid w:val="00E10A95"/>
    <w:rsid w:val="00E10BD5"/>
    <w:rsid w:val="00E1257D"/>
    <w:rsid w:val="00E1295B"/>
    <w:rsid w:val="00E1486F"/>
    <w:rsid w:val="00E1643A"/>
    <w:rsid w:val="00E16FA9"/>
    <w:rsid w:val="00E1713D"/>
    <w:rsid w:val="00E21475"/>
    <w:rsid w:val="00E242B7"/>
    <w:rsid w:val="00E2437B"/>
    <w:rsid w:val="00E27B51"/>
    <w:rsid w:val="00E34830"/>
    <w:rsid w:val="00E34B19"/>
    <w:rsid w:val="00E35330"/>
    <w:rsid w:val="00E358F3"/>
    <w:rsid w:val="00E35AE9"/>
    <w:rsid w:val="00E37C3A"/>
    <w:rsid w:val="00E42B21"/>
    <w:rsid w:val="00E43753"/>
    <w:rsid w:val="00E453E3"/>
    <w:rsid w:val="00E46D34"/>
    <w:rsid w:val="00E47F2F"/>
    <w:rsid w:val="00E511B5"/>
    <w:rsid w:val="00E51650"/>
    <w:rsid w:val="00E525DE"/>
    <w:rsid w:val="00E53D46"/>
    <w:rsid w:val="00E5437E"/>
    <w:rsid w:val="00E54727"/>
    <w:rsid w:val="00E552E9"/>
    <w:rsid w:val="00E574B0"/>
    <w:rsid w:val="00E635CD"/>
    <w:rsid w:val="00E63696"/>
    <w:rsid w:val="00E6535B"/>
    <w:rsid w:val="00E6710C"/>
    <w:rsid w:val="00E724A3"/>
    <w:rsid w:val="00E7264E"/>
    <w:rsid w:val="00E732EA"/>
    <w:rsid w:val="00E750B4"/>
    <w:rsid w:val="00E77C17"/>
    <w:rsid w:val="00E80549"/>
    <w:rsid w:val="00E80DA6"/>
    <w:rsid w:val="00E80F1F"/>
    <w:rsid w:val="00E811D2"/>
    <w:rsid w:val="00E81F20"/>
    <w:rsid w:val="00E843E0"/>
    <w:rsid w:val="00E85660"/>
    <w:rsid w:val="00E9044A"/>
    <w:rsid w:val="00E95167"/>
    <w:rsid w:val="00EA2D33"/>
    <w:rsid w:val="00EA3944"/>
    <w:rsid w:val="00EA3FD6"/>
    <w:rsid w:val="00EA4C26"/>
    <w:rsid w:val="00EA6C0C"/>
    <w:rsid w:val="00EB0112"/>
    <w:rsid w:val="00EB0915"/>
    <w:rsid w:val="00EB0CEC"/>
    <w:rsid w:val="00EB0DA0"/>
    <w:rsid w:val="00EB2601"/>
    <w:rsid w:val="00EB2DC4"/>
    <w:rsid w:val="00EB2E63"/>
    <w:rsid w:val="00EB3033"/>
    <w:rsid w:val="00EB3738"/>
    <w:rsid w:val="00EB41C7"/>
    <w:rsid w:val="00EB47BC"/>
    <w:rsid w:val="00EB5AC0"/>
    <w:rsid w:val="00EB63B0"/>
    <w:rsid w:val="00EB756D"/>
    <w:rsid w:val="00EC077B"/>
    <w:rsid w:val="00EC0C4C"/>
    <w:rsid w:val="00EC305E"/>
    <w:rsid w:val="00EC3659"/>
    <w:rsid w:val="00EC7187"/>
    <w:rsid w:val="00EC73C6"/>
    <w:rsid w:val="00ED1432"/>
    <w:rsid w:val="00ED22D2"/>
    <w:rsid w:val="00ED2871"/>
    <w:rsid w:val="00ED36B1"/>
    <w:rsid w:val="00ED36F3"/>
    <w:rsid w:val="00ED41B7"/>
    <w:rsid w:val="00ED4743"/>
    <w:rsid w:val="00ED5557"/>
    <w:rsid w:val="00ED6383"/>
    <w:rsid w:val="00ED72B9"/>
    <w:rsid w:val="00ED74F1"/>
    <w:rsid w:val="00EE7103"/>
    <w:rsid w:val="00EF0FE1"/>
    <w:rsid w:val="00EF3361"/>
    <w:rsid w:val="00EF34D0"/>
    <w:rsid w:val="00EF53D5"/>
    <w:rsid w:val="00EF6A85"/>
    <w:rsid w:val="00EF7BD6"/>
    <w:rsid w:val="00EF7D52"/>
    <w:rsid w:val="00EF7D58"/>
    <w:rsid w:val="00F005B7"/>
    <w:rsid w:val="00F026C9"/>
    <w:rsid w:val="00F04117"/>
    <w:rsid w:val="00F0432C"/>
    <w:rsid w:val="00F052CB"/>
    <w:rsid w:val="00F056B4"/>
    <w:rsid w:val="00F05E4A"/>
    <w:rsid w:val="00F1032E"/>
    <w:rsid w:val="00F10B48"/>
    <w:rsid w:val="00F13D52"/>
    <w:rsid w:val="00F15530"/>
    <w:rsid w:val="00F1626F"/>
    <w:rsid w:val="00F21CDC"/>
    <w:rsid w:val="00F250E8"/>
    <w:rsid w:val="00F30607"/>
    <w:rsid w:val="00F32B2F"/>
    <w:rsid w:val="00F32C4A"/>
    <w:rsid w:val="00F34226"/>
    <w:rsid w:val="00F34EF3"/>
    <w:rsid w:val="00F35997"/>
    <w:rsid w:val="00F36363"/>
    <w:rsid w:val="00F43F21"/>
    <w:rsid w:val="00F44AA4"/>
    <w:rsid w:val="00F45599"/>
    <w:rsid w:val="00F45906"/>
    <w:rsid w:val="00F46570"/>
    <w:rsid w:val="00F476D0"/>
    <w:rsid w:val="00F51027"/>
    <w:rsid w:val="00F51704"/>
    <w:rsid w:val="00F521E6"/>
    <w:rsid w:val="00F52752"/>
    <w:rsid w:val="00F537D1"/>
    <w:rsid w:val="00F556A8"/>
    <w:rsid w:val="00F56893"/>
    <w:rsid w:val="00F57708"/>
    <w:rsid w:val="00F61C94"/>
    <w:rsid w:val="00F62DB1"/>
    <w:rsid w:val="00F62E16"/>
    <w:rsid w:val="00F654B8"/>
    <w:rsid w:val="00F67008"/>
    <w:rsid w:val="00F70702"/>
    <w:rsid w:val="00F7327D"/>
    <w:rsid w:val="00F75D51"/>
    <w:rsid w:val="00F75F69"/>
    <w:rsid w:val="00F85302"/>
    <w:rsid w:val="00F85685"/>
    <w:rsid w:val="00F86B76"/>
    <w:rsid w:val="00F875B9"/>
    <w:rsid w:val="00F90A7B"/>
    <w:rsid w:val="00F916E1"/>
    <w:rsid w:val="00F94612"/>
    <w:rsid w:val="00F94B1B"/>
    <w:rsid w:val="00F95109"/>
    <w:rsid w:val="00F9739A"/>
    <w:rsid w:val="00F97889"/>
    <w:rsid w:val="00FA3821"/>
    <w:rsid w:val="00FA41C9"/>
    <w:rsid w:val="00FA474A"/>
    <w:rsid w:val="00FA4B2E"/>
    <w:rsid w:val="00FA639A"/>
    <w:rsid w:val="00FA7B1B"/>
    <w:rsid w:val="00FB0AB2"/>
    <w:rsid w:val="00FB0B37"/>
    <w:rsid w:val="00FB1222"/>
    <w:rsid w:val="00FB16FD"/>
    <w:rsid w:val="00FB2CEA"/>
    <w:rsid w:val="00FB300C"/>
    <w:rsid w:val="00FB4508"/>
    <w:rsid w:val="00FB5C8D"/>
    <w:rsid w:val="00FB6E0D"/>
    <w:rsid w:val="00FB74E7"/>
    <w:rsid w:val="00FB7944"/>
    <w:rsid w:val="00FC081B"/>
    <w:rsid w:val="00FC2922"/>
    <w:rsid w:val="00FC380C"/>
    <w:rsid w:val="00FC53A0"/>
    <w:rsid w:val="00FC57B7"/>
    <w:rsid w:val="00FC6049"/>
    <w:rsid w:val="00FC66F8"/>
    <w:rsid w:val="00FD0972"/>
    <w:rsid w:val="00FD1BAF"/>
    <w:rsid w:val="00FD490F"/>
    <w:rsid w:val="00FD5E22"/>
    <w:rsid w:val="00FD62F8"/>
    <w:rsid w:val="00FD7CA1"/>
    <w:rsid w:val="00FE2CBF"/>
    <w:rsid w:val="00FE42F6"/>
    <w:rsid w:val="00FE4F71"/>
    <w:rsid w:val="00FE59AD"/>
    <w:rsid w:val="00FE6575"/>
    <w:rsid w:val="00FE6C8A"/>
    <w:rsid w:val="00FF1FDC"/>
    <w:rsid w:val="00FF3A93"/>
    <w:rsid w:val="00FF64BC"/>
    <w:rsid w:val="00FF7B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qFormat="1"/>
    <w:lsdException w:name="page number"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6274AC"/>
    <w:pPr>
      <w:spacing w:line="360" w:lineRule="atLeast"/>
      <w:jc w:val="both"/>
    </w:pPr>
    <w:rPr>
      <w:rFonts w:ascii="Cambria" w:eastAsia="Calibri" w:hAnsi="Cambria"/>
      <w:color w:val="000000"/>
      <w:szCs w:val="22"/>
      <w:lang w:eastAsia="en-US"/>
    </w:rPr>
  </w:style>
  <w:style w:type="paragraph" w:styleId="Titolo1">
    <w:name w:val="heading 1"/>
    <w:basedOn w:val="Titolo"/>
    <w:next w:val="Normale"/>
    <w:link w:val="Titolo1Carattere"/>
    <w:uiPriority w:val="9"/>
    <w:qFormat/>
    <w:rsid w:val="006924C6"/>
    <w:pPr>
      <w:pBdr>
        <w:bottom w:val="single" w:sz="8" w:space="1" w:color="808080"/>
      </w:pBdr>
      <w:spacing w:before="600" w:after="240"/>
      <w:outlineLvl w:val="0"/>
    </w:pPr>
    <w:rPr>
      <w:rFonts w:eastAsia="Times New Roman"/>
      <w:b/>
      <w:bCs/>
      <w:sz w:val="40"/>
      <w:szCs w:val="28"/>
    </w:rPr>
  </w:style>
  <w:style w:type="paragraph" w:styleId="Titolo2">
    <w:name w:val="heading 2"/>
    <w:basedOn w:val="Titolo"/>
    <w:next w:val="Normale"/>
    <w:link w:val="Titolo2Carattere"/>
    <w:uiPriority w:val="9"/>
    <w:unhideWhenUsed/>
    <w:qFormat/>
    <w:rsid w:val="006924C6"/>
    <w:pPr>
      <w:pBdr>
        <w:bottom w:val="single" w:sz="6" w:space="1" w:color="BFBFBF"/>
      </w:pBdr>
      <w:spacing w:before="480" w:after="240"/>
      <w:outlineLvl w:val="1"/>
    </w:pPr>
    <w:rPr>
      <w:rFonts w:eastAsia="Times New Roman"/>
      <w:b/>
      <w:bCs/>
      <w:sz w:val="36"/>
      <w:szCs w:val="26"/>
    </w:rPr>
  </w:style>
  <w:style w:type="paragraph" w:styleId="Titolo3">
    <w:name w:val="heading 3"/>
    <w:basedOn w:val="Titolo"/>
    <w:next w:val="Normale"/>
    <w:link w:val="Titolo3Carattere"/>
    <w:uiPriority w:val="9"/>
    <w:unhideWhenUsed/>
    <w:qFormat/>
    <w:rsid w:val="006924C6"/>
    <w:pPr>
      <w:spacing w:before="480" w:after="180"/>
      <w:outlineLvl w:val="2"/>
    </w:pPr>
    <w:rPr>
      <w:rFonts w:eastAsia="Times New Roman"/>
      <w:b/>
      <w:bCs/>
      <w:sz w:val="32"/>
    </w:rPr>
  </w:style>
  <w:style w:type="paragraph" w:styleId="Titolo4">
    <w:name w:val="heading 4"/>
    <w:basedOn w:val="Titolo"/>
    <w:next w:val="Normale"/>
    <w:link w:val="Titolo4Carattere"/>
    <w:uiPriority w:val="9"/>
    <w:unhideWhenUsed/>
    <w:qFormat/>
    <w:rsid w:val="006924C6"/>
    <w:pPr>
      <w:spacing w:before="480" w:after="180"/>
      <w:outlineLvl w:val="3"/>
    </w:pPr>
    <w:rPr>
      <w:rFonts w:eastAsia="Times New Roman"/>
      <w:b/>
      <w:bCs/>
      <w:iCs/>
      <w:sz w:val="28"/>
    </w:rPr>
  </w:style>
  <w:style w:type="paragraph" w:styleId="Titolo5">
    <w:name w:val="heading 5"/>
    <w:basedOn w:val="Titolo"/>
    <w:next w:val="Normale"/>
    <w:link w:val="Titolo5Carattere"/>
    <w:uiPriority w:val="9"/>
    <w:unhideWhenUsed/>
    <w:qFormat/>
    <w:rsid w:val="006924C6"/>
    <w:pPr>
      <w:spacing w:before="360" w:after="120"/>
      <w:outlineLvl w:val="4"/>
    </w:pPr>
    <w:rPr>
      <w:rFonts w:eastAsia="Times New Roman"/>
      <w:b/>
      <w:sz w:val="26"/>
    </w:rPr>
  </w:style>
  <w:style w:type="paragraph" w:styleId="Titolo6">
    <w:name w:val="heading 6"/>
    <w:basedOn w:val="Titolo"/>
    <w:next w:val="Normale"/>
    <w:link w:val="Titolo6Carattere"/>
    <w:uiPriority w:val="9"/>
    <w:unhideWhenUsed/>
    <w:qFormat/>
    <w:rsid w:val="006924C6"/>
    <w:pPr>
      <w:spacing w:before="320" w:after="120"/>
      <w:outlineLvl w:val="5"/>
    </w:pPr>
    <w:rPr>
      <w:rFonts w:eastAsia="Times New Roman"/>
      <w:b/>
      <w:i/>
      <w:iCs/>
      <w:sz w:val="24"/>
    </w:rPr>
  </w:style>
  <w:style w:type="paragraph" w:styleId="Titolo7">
    <w:name w:val="heading 7"/>
    <w:basedOn w:val="Titolo"/>
    <w:next w:val="Normale"/>
    <w:link w:val="Titolo7Carattere"/>
    <w:uiPriority w:val="9"/>
    <w:unhideWhenUsed/>
    <w:qFormat/>
    <w:rsid w:val="006924C6"/>
    <w:pPr>
      <w:spacing w:before="280" w:after="60"/>
      <w:outlineLvl w:val="6"/>
    </w:pPr>
    <w:rPr>
      <w:rFonts w:eastAsia="Times New Roman"/>
      <w:iCs/>
      <w:sz w:val="24"/>
    </w:rPr>
  </w:style>
  <w:style w:type="paragraph" w:styleId="Titolo8">
    <w:name w:val="heading 8"/>
    <w:basedOn w:val="Titolo"/>
    <w:next w:val="Normale"/>
    <w:link w:val="Titolo8Carattere"/>
    <w:uiPriority w:val="9"/>
    <w:unhideWhenUsed/>
    <w:qFormat/>
    <w:rsid w:val="006924C6"/>
    <w:pPr>
      <w:spacing w:before="240" w:after="60"/>
      <w:outlineLvl w:val="7"/>
    </w:pPr>
    <w:rPr>
      <w:rFonts w:eastAsia="Times New Roman"/>
      <w:i/>
      <w:sz w:val="24"/>
      <w:szCs w:val="20"/>
    </w:rPr>
  </w:style>
  <w:style w:type="paragraph" w:styleId="Titolo9">
    <w:name w:val="heading 9"/>
    <w:basedOn w:val="Titolo"/>
    <w:next w:val="Normale"/>
    <w:link w:val="Titolo9Carattere"/>
    <w:uiPriority w:val="9"/>
    <w:unhideWhenUsed/>
    <w:qFormat/>
    <w:rsid w:val="006924C6"/>
    <w:pPr>
      <w:spacing w:before="240" w:after="60"/>
      <w:outlineLvl w:val="8"/>
    </w:pPr>
    <w:rPr>
      <w:rFonts w:eastAsia="Times New Roman"/>
      <w:i/>
      <w:i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aseTitolo">
    <w:name w:val="Base Titolo"/>
    <w:basedOn w:val="Normale"/>
    <w:next w:val="Normale"/>
    <w:pPr>
      <w:keepNext/>
      <w:keepLines/>
      <w:spacing w:before="140"/>
    </w:pPr>
    <w:rPr>
      <w:rFonts w:ascii="Arial" w:hAnsi="Arial"/>
      <w:spacing w:val="-4"/>
      <w:kern w:val="28"/>
      <w:sz w:val="22"/>
    </w:rPr>
  </w:style>
  <w:style w:type="paragraph" w:customStyle="1" w:styleId="Tabella">
    <w:name w:val="Tabella"/>
    <w:rsid w:val="006924C6"/>
    <w:pPr>
      <w:spacing w:before="20" w:after="20"/>
    </w:pPr>
    <w:rPr>
      <w:rFonts w:ascii="Calibri" w:eastAsia="Calibri" w:hAnsi="Calibri"/>
      <w:noProof/>
      <w:color w:val="000000"/>
      <w:sz w:val="18"/>
      <w:szCs w:val="22"/>
      <w:lang w:eastAsia="en-US"/>
    </w:rPr>
  </w:style>
  <w:style w:type="paragraph" w:customStyle="1" w:styleId="Corpodeltestocontinuo">
    <w:name w:val="Corpo del testo continuo"/>
    <w:basedOn w:val="Normale"/>
    <w:pPr>
      <w:keepNext/>
    </w:pPr>
  </w:style>
  <w:style w:type="paragraph" w:customStyle="1" w:styleId="BasePidipagina">
    <w:name w:val="Base Piè di pagina"/>
    <w:basedOn w:val="Normale"/>
    <w:pPr>
      <w:keepLines/>
    </w:pPr>
    <w:rPr>
      <w:sz w:val="18"/>
    </w:rPr>
  </w:style>
  <w:style w:type="paragraph" w:customStyle="1" w:styleId="Blocco">
    <w:name w:val="Blocco"/>
    <w:basedOn w:val="Normale"/>
    <w:pPr>
      <w:keepLines/>
      <w:pBdr>
        <w:left w:val="single" w:sz="36" w:space="3" w:color="808080"/>
        <w:bottom w:val="single" w:sz="48" w:space="3" w:color="FFFFFF"/>
      </w:pBdr>
      <w:spacing w:after="60"/>
      <w:ind w:left="1440" w:right="720"/>
    </w:pPr>
    <w:rPr>
      <w:i/>
    </w:rPr>
  </w:style>
  <w:style w:type="paragraph" w:styleId="Didascalia">
    <w:name w:val="caption"/>
    <w:basedOn w:val="Immagine"/>
    <w:next w:val="Normale"/>
    <w:qFormat/>
    <w:pPr>
      <w:spacing w:before="60" w:after="220"/>
      <w:ind w:left="1800"/>
    </w:pPr>
    <w:rPr>
      <w:i/>
      <w:sz w:val="18"/>
    </w:rPr>
  </w:style>
  <w:style w:type="paragraph" w:customStyle="1" w:styleId="Immagine">
    <w:name w:val="Immagine"/>
    <w:basedOn w:val="Normale"/>
    <w:next w:val="Didascalia"/>
    <w:pPr>
      <w:keepNext/>
    </w:pPr>
  </w:style>
  <w:style w:type="paragraph" w:customStyle="1" w:styleId="Etichettadocumento">
    <w:name w:val="Etichetta documento"/>
    <w:basedOn w:val="BaseTitolo"/>
    <w:next w:val="Normale"/>
    <w:pPr>
      <w:spacing w:before="160"/>
    </w:pPr>
    <w:rPr>
      <w:rFonts w:ascii="Times New Roman" w:hAnsi="Times New Roman"/>
      <w:spacing w:val="-30"/>
      <w:sz w:val="60"/>
    </w:rPr>
  </w:style>
  <w:style w:type="character" w:styleId="Rimandonotadichiusura">
    <w:name w:val="endnote reference"/>
    <w:semiHidden/>
    <w:rPr>
      <w:b/>
      <w:vertAlign w:val="superscript"/>
    </w:rPr>
  </w:style>
  <w:style w:type="paragraph" w:styleId="Testonotadichiusura">
    <w:name w:val="endnote text"/>
    <w:basedOn w:val="BasePidipagina"/>
    <w:semiHidden/>
  </w:style>
  <w:style w:type="paragraph" w:styleId="Pidipagina">
    <w:name w:val="footer"/>
    <w:basedOn w:val="BaseIntestazione"/>
    <w:link w:val="PidipaginaCarattere"/>
    <w:uiPriority w:val="99"/>
  </w:style>
  <w:style w:type="paragraph" w:customStyle="1" w:styleId="BaseIntestazione">
    <w:name w:val="Base Intestazione"/>
    <w:basedOn w:val="Normale"/>
    <w:pPr>
      <w:keepLines/>
      <w:tabs>
        <w:tab w:val="center" w:pos="4320"/>
        <w:tab w:val="right" w:pos="8640"/>
      </w:tabs>
    </w:pPr>
    <w:rPr>
      <w:rFonts w:ascii="Arial" w:hAnsi="Arial"/>
      <w:spacing w:val="-4"/>
    </w:rPr>
  </w:style>
  <w:style w:type="character" w:styleId="Rimandonotaapidipagina">
    <w:name w:val="footnote reference"/>
    <w:semiHidden/>
    <w:rPr>
      <w:vertAlign w:val="superscript"/>
    </w:rPr>
  </w:style>
  <w:style w:type="paragraph" w:styleId="Testonotaapidipagina">
    <w:name w:val="footnote text"/>
    <w:basedOn w:val="BasePidipagina"/>
    <w:semiHidden/>
  </w:style>
  <w:style w:type="paragraph" w:styleId="Intestazione">
    <w:name w:val="header"/>
    <w:basedOn w:val="BaseIntestazione"/>
  </w:style>
  <w:style w:type="paragraph" w:styleId="Indice1">
    <w:name w:val="index 1"/>
    <w:basedOn w:val="BaseIndice"/>
    <w:semiHidden/>
    <w:pPr>
      <w:tabs>
        <w:tab w:val="right" w:pos="4080"/>
      </w:tabs>
      <w:ind w:hanging="360"/>
    </w:pPr>
  </w:style>
  <w:style w:type="paragraph" w:customStyle="1" w:styleId="BaseIndice">
    <w:name w:val="Base Indice"/>
    <w:basedOn w:val="Normale"/>
    <w:pPr>
      <w:ind w:left="360"/>
    </w:pPr>
  </w:style>
  <w:style w:type="paragraph" w:styleId="Indice2">
    <w:name w:val="index 2"/>
    <w:basedOn w:val="BaseIndice"/>
    <w:semiHidden/>
    <w:pPr>
      <w:tabs>
        <w:tab w:val="right" w:pos="4080"/>
      </w:tabs>
      <w:ind w:left="720" w:hanging="360"/>
    </w:pPr>
  </w:style>
  <w:style w:type="paragraph" w:styleId="Indice3">
    <w:name w:val="index 3"/>
    <w:basedOn w:val="BaseIndice"/>
    <w:semiHidden/>
    <w:pPr>
      <w:tabs>
        <w:tab w:val="right" w:pos="4080"/>
      </w:tabs>
      <w:ind w:left="720" w:hanging="360"/>
    </w:pPr>
  </w:style>
  <w:style w:type="paragraph" w:styleId="Indice4">
    <w:name w:val="index 4"/>
    <w:basedOn w:val="BaseIndice"/>
    <w:semiHidden/>
    <w:pPr>
      <w:tabs>
        <w:tab w:val="right" w:pos="4080"/>
      </w:tabs>
      <w:ind w:left="720" w:hanging="360"/>
    </w:pPr>
  </w:style>
  <w:style w:type="paragraph" w:styleId="Indice5">
    <w:name w:val="index 5"/>
    <w:basedOn w:val="BaseIndice"/>
    <w:semiHidden/>
    <w:pPr>
      <w:tabs>
        <w:tab w:val="right" w:pos="4080"/>
      </w:tabs>
      <w:ind w:left="720" w:hanging="360"/>
    </w:pPr>
  </w:style>
  <w:style w:type="paragraph" w:styleId="Titoloindice">
    <w:name w:val="index heading"/>
    <w:basedOn w:val="BaseTitolo"/>
    <w:next w:val="Indice1"/>
    <w:semiHidden/>
    <w:pPr>
      <w:keepLines w:val="0"/>
      <w:spacing w:before="440"/>
    </w:pPr>
    <w:rPr>
      <w:b/>
      <w:caps/>
      <w:spacing w:val="0"/>
      <w:kern w:val="0"/>
      <w:sz w:val="24"/>
    </w:rPr>
  </w:style>
  <w:style w:type="paragraph" w:customStyle="1" w:styleId="Titolosezione">
    <w:name w:val="Titolo sezione"/>
    <w:basedOn w:val="Titolo1"/>
  </w:style>
  <w:style w:type="character" w:customStyle="1" w:styleId="Inizioinevidenza">
    <w:name w:val="Inizio in evidenza"/>
    <w:rPr>
      <w:rFonts w:ascii="Arial" w:hAnsi="Arial"/>
      <w:b/>
      <w:spacing w:val="-4"/>
    </w:rPr>
  </w:style>
  <w:style w:type="character" w:styleId="Numeroriga">
    <w:name w:val="line number"/>
    <w:rPr>
      <w:sz w:val="18"/>
    </w:rPr>
  </w:style>
  <w:style w:type="paragraph" w:styleId="Elenco">
    <w:name w:val="List"/>
    <w:basedOn w:val="Normale"/>
    <w:pPr>
      <w:ind w:left="1440" w:hanging="360"/>
    </w:pPr>
  </w:style>
  <w:style w:type="paragraph" w:styleId="Puntoelenco">
    <w:name w:val="List Bullet"/>
    <w:basedOn w:val="Elenco"/>
    <w:pPr>
      <w:numPr>
        <w:numId w:val="11"/>
      </w:numPr>
      <w:ind w:right="720"/>
    </w:pPr>
  </w:style>
  <w:style w:type="paragraph" w:styleId="Numeroelenco">
    <w:name w:val="List Number"/>
    <w:basedOn w:val="Elenco"/>
    <w:pPr>
      <w:ind w:left="1800" w:right="720"/>
    </w:pPr>
  </w:style>
  <w:style w:type="character" w:styleId="Numeropagina">
    <w:name w:val="page number"/>
    <w:qFormat/>
    <w:rsid w:val="006924C6"/>
    <w:rPr>
      <w:rFonts w:ascii="Cambria" w:hAnsi="Cambria"/>
      <w:b/>
      <w:color w:val="000000"/>
      <w:sz w:val="16"/>
    </w:rPr>
  </w:style>
  <w:style w:type="paragraph" w:customStyle="1" w:styleId="Sottotitolofrontespizio">
    <w:name w:val="Sottotitolo frontespizio"/>
    <w:basedOn w:val="Titolofrontespizio"/>
    <w:next w:val="Normale"/>
    <w:pPr>
      <w:spacing w:before="1520"/>
      <w:ind w:right="1680"/>
    </w:pPr>
    <w:rPr>
      <w:rFonts w:ascii="Times New Roman" w:hAnsi="Times New Roman"/>
      <w:b w:val="0"/>
      <w:i/>
      <w:spacing w:val="-20"/>
      <w:sz w:val="40"/>
    </w:rPr>
  </w:style>
  <w:style w:type="paragraph" w:customStyle="1" w:styleId="Titolofrontespizio">
    <w:name w:val="Titolo frontespizio"/>
    <w:basedOn w:val="BaseTitolo"/>
    <w:next w:val="Sottotitolofrontespizio"/>
    <w:pPr>
      <w:spacing w:before="1800" w:line="240" w:lineRule="atLeast"/>
    </w:pPr>
    <w:rPr>
      <w:b/>
      <w:spacing w:val="-48"/>
      <w:sz w:val="72"/>
    </w:rPr>
  </w:style>
  <w:style w:type="character" w:customStyle="1" w:styleId="Apice">
    <w:name w:val="Apice"/>
    <w:rPr>
      <w:b/>
      <w:vertAlign w:val="superscript"/>
    </w:rPr>
  </w:style>
  <w:style w:type="paragraph" w:customStyle="1" w:styleId="BaseSommario">
    <w:name w:val="Base Sommario"/>
    <w:basedOn w:val="Normale"/>
    <w:pPr>
      <w:tabs>
        <w:tab w:val="right" w:leader="dot" w:pos="6480"/>
      </w:tabs>
      <w:spacing w:after="220"/>
    </w:pPr>
    <w:rPr>
      <w:rFonts w:ascii="Arial" w:hAnsi="Arial"/>
    </w:rPr>
  </w:style>
  <w:style w:type="paragraph" w:styleId="Indicedellefigure">
    <w:name w:val="table of figures"/>
    <w:basedOn w:val="BaseSommario"/>
    <w:semiHidden/>
    <w:pPr>
      <w:ind w:left="1440" w:hanging="360"/>
    </w:pPr>
  </w:style>
  <w:style w:type="paragraph" w:styleId="Sommario1">
    <w:name w:val="toc 1"/>
    <w:basedOn w:val="BaseSommario"/>
    <w:semiHidden/>
    <w:rPr>
      <w:b/>
      <w:spacing w:val="-4"/>
    </w:rPr>
  </w:style>
  <w:style w:type="paragraph" w:styleId="Sommario2">
    <w:name w:val="toc 2"/>
    <w:basedOn w:val="BaseSommario"/>
    <w:semiHidden/>
  </w:style>
  <w:style w:type="paragraph" w:styleId="Sommario3">
    <w:name w:val="toc 3"/>
    <w:basedOn w:val="BaseSommario"/>
    <w:semiHidden/>
  </w:style>
  <w:style w:type="paragraph" w:styleId="Sommario4">
    <w:name w:val="toc 4"/>
    <w:basedOn w:val="BaseSommario"/>
    <w:semiHidden/>
  </w:style>
  <w:style w:type="paragraph" w:styleId="Sommario5">
    <w:name w:val="toc 5"/>
    <w:basedOn w:val="BaseSommario"/>
    <w:semiHidden/>
  </w:style>
  <w:style w:type="paragraph" w:customStyle="1" w:styleId="Etichettasezione">
    <w:name w:val="Etichetta sezione"/>
    <w:basedOn w:val="BaseTitolo"/>
    <w:next w:val="Normale"/>
    <w:pPr>
      <w:spacing w:before="400" w:after="440"/>
    </w:pPr>
    <w:rPr>
      <w:rFonts w:ascii="Times New Roman" w:hAnsi="Times New Roman"/>
      <w:spacing w:val="-30"/>
      <w:sz w:val="60"/>
    </w:rPr>
  </w:style>
  <w:style w:type="paragraph" w:customStyle="1" w:styleId="Primopidipagina">
    <w:name w:val="Primo piè di pagina"/>
    <w:basedOn w:val="Pidipagina"/>
    <w:pPr>
      <w:pBdr>
        <w:bottom w:val="single" w:sz="6" w:space="1" w:color="auto"/>
      </w:pBdr>
      <w:spacing w:before="600"/>
    </w:pPr>
    <w:rPr>
      <w:b/>
    </w:rPr>
  </w:style>
  <w:style w:type="paragraph" w:customStyle="1" w:styleId="Pidipaginapari">
    <w:name w:val="Piè di pagina pari"/>
    <w:basedOn w:val="Pidipagina"/>
    <w:pPr>
      <w:pBdr>
        <w:bottom w:val="single" w:sz="6" w:space="1" w:color="auto"/>
      </w:pBdr>
      <w:spacing w:before="600"/>
    </w:pPr>
    <w:rPr>
      <w:b/>
    </w:rPr>
  </w:style>
  <w:style w:type="paragraph" w:customStyle="1" w:styleId="Pidipaginadispari">
    <w:name w:val="Piè di pagina dispari"/>
    <w:basedOn w:val="Pidipagina"/>
    <w:pPr>
      <w:pBdr>
        <w:bottom w:val="single" w:sz="6" w:space="1" w:color="auto"/>
      </w:pBdr>
      <w:spacing w:before="600"/>
    </w:pPr>
    <w:rPr>
      <w:b/>
    </w:rPr>
  </w:style>
  <w:style w:type="paragraph" w:customStyle="1" w:styleId="Primaintestazione">
    <w:name w:val="Prima intestazione"/>
    <w:basedOn w:val="Intestazione"/>
  </w:style>
  <w:style w:type="paragraph" w:customStyle="1" w:styleId="Intestazionepari">
    <w:name w:val="Intestazione pari"/>
    <w:basedOn w:val="Intestazione"/>
  </w:style>
  <w:style w:type="paragraph" w:customStyle="1" w:styleId="Intestazionedispari">
    <w:name w:val="Intestazione dispari"/>
    <w:basedOn w:val="Intestazione"/>
  </w:style>
  <w:style w:type="paragraph" w:customStyle="1" w:styleId="Etichettacapitolo">
    <w:name w:val="Etichetta capitolo"/>
    <w:basedOn w:val="BaseTitolo"/>
    <w:next w:val="Titolocapitolo"/>
    <w:pPr>
      <w:spacing w:before="770" w:after="440"/>
    </w:pPr>
    <w:rPr>
      <w:rFonts w:ascii="Times New Roman" w:hAnsi="Times New Roman"/>
      <w:spacing w:val="-30"/>
      <w:sz w:val="60"/>
    </w:rPr>
  </w:style>
  <w:style w:type="paragraph" w:customStyle="1" w:styleId="Titolocapitolo">
    <w:name w:val="Titolo capitolo"/>
    <w:basedOn w:val="BaseTitolo"/>
    <w:next w:val="Sottotitolocapitolo"/>
    <w:pPr>
      <w:spacing w:before="720" w:after="400" w:line="240" w:lineRule="auto"/>
      <w:ind w:right="2160"/>
    </w:pPr>
    <w:rPr>
      <w:rFonts w:ascii="Times New Roman" w:hAnsi="Times New Roman"/>
      <w:spacing w:val="-40"/>
      <w:sz w:val="60"/>
    </w:rPr>
  </w:style>
  <w:style w:type="paragraph" w:customStyle="1" w:styleId="Sottotitolocapitolo">
    <w:name w:val="Sottotitolo capitolo"/>
    <w:basedOn w:val="Titolocapitolo"/>
    <w:next w:val="Normale"/>
    <w:pPr>
      <w:spacing w:before="0" w:line="400" w:lineRule="atLeast"/>
    </w:pPr>
    <w:rPr>
      <w:i/>
      <w:spacing w:val="-14"/>
      <w:sz w:val="34"/>
    </w:rPr>
  </w:style>
  <w:style w:type="paragraph" w:styleId="Rientrocorpodeltesto">
    <w:name w:val="Body Text Indent"/>
    <w:basedOn w:val="Normale"/>
    <w:pPr>
      <w:ind w:left="1440"/>
    </w:pPr>
  </w:style>
  <w:style w:type="paragraph" w:styleId="Sottotitolo">
    <w:name w:val="Subtitle"/>
    <w:basedOn w:val="Titolo"/>
    <w:next w:val="Normale"/>
    <w:qFormat/>
    <w:rsid w:val="006924C6"/>
    <w:pPr>
      <w:spacing w:before="0" w:after="160" w:line="400" w:lineRule="atLeast"/>
    </w:pPr>
    <w:rPr>
      <w:i/>
      <w:spacing w:val="-14"/>
      <w:sz w:val="34"/>
    </w:rPr>
  </w:style>
  <w:style w:type="paragraph" w:styleId="Titolo">
    <w:name w:val="Title"/>
    <w:basedOn w:val="BaseTitolo"/>
    <w:next w:val="Sottotitolo"/>
    <w:link w:val="TitoloCarattere"/>
    <w:qFormat/>
    <w:rsid w:val="006924C6"/>
    <w:pPr>
      <w:spacing w:before="660" w:after="400" w:line="280" w:lineRule="atLeast"/>
    </w:pPr>
    <w:rPr>
      <w:rFonts w:ascii="Calibri" w:hAnsi="Calibri"/>
      <w:spacing w:val="0"/>
      <w:sz w:val="60"/>
    </w:rPr>
  </w:style>
  <w:style w:type="paragraph" w:styleId="Numeroelenco5">
    <w:name w:val="List Number 5"/>
    <w:basedOn w:val="Numeroelenco"/>
    <w:pPr>
      <w:ind w:left="3240"/>
    </w:pPr>
  </w:style>
  <w:style w:type="paragraph" w:styleId="Numeroelenco4">
    <w:name w:val="List Number 4"/>
    <w:basedOn w:val="Numeroelenco"/>
    <w:pPr>
      <w:ind w:left="2880"/>
    </w:pPr>
  </w:style>
  <w:style w:type="paragraph" w:styleId="Numeroelenco3">
    <w:name w:val="List Number 3"/>
    <w:basedOn w:val="Numeroelenco"/>
    <w:pPr>
      <w:ind w:left="2520"/>
    </w:pPr>
  </w:style>
  <w:style w:type="paragraph" w:styleId="Puntoelenco5">
    <w:name w:val="List Bullet 5"/>
    <w:basedOn w:val="Puntoelenco"/>
    <w:pPr>
      <w:ind w:left="3240"/>
    </w:pPr>
  </w:style>
  <w:style w:type="paragraph" w:styleId="Puntoelenco4">
    <w:name w:val="List Bullet 4"/>
    <w:basedOn w:val="Puntoelenco"/>
    <w:pPr>
      <w:ind w:left="2880"/>
    </w:pPr>
  </w:style>
  <w:style w:type="paragraph" w:styleId="Puntoelenco3">
    <w:name w:val="List Bullet 3"/>
    <w:basedOn w:val="Puntoelenco"/>
    <w:pPr>
      <w:ind w:left="2520"/>
    </w:pPr>
  </w:style>
  <w:style w:type="paragraph" w:styleId="Puntoelenco2">
    <w:name w:val="List Bullet 2"/>
    <w:basedOn w:val="Puntoelenco"/>
    <w:pPr>
      <w:ind w:left="2160"/>
    </w:pPr>
  </w:style>
  <w:style w:type="paragraph" w:styleId="Elenco5">
    <w:name w:val="List 5"/>
    <w:basedOn w:val="Elenco"/>
    <w:pPr>
      <w:ind w:left="2880"/>
    </w:pPr>
  </w:style>
  <w:style w:type="paragraph" w:styleId="Elenco4">
    <w:name w:val="List 4"/>
    <w:basedOn w:val="Elenco"/>
    <w:pPr>
      <w:ind w:left="2520"/>
    </w:pPr>
  </w:style>
  <w:style w:type="paragraph" w:styleId="Elenco3">
    <w:name w:val="List 3"/>
    <w:basedOn w:val="Elenco"/>
    <w:pPr>
      <w:ind w:left="2160"/>
    </w:pPr>
  </w:style>
  <w:style w:type="paragraph" w:styleId="Elenco2">
    <w:name w:val="List 2"/>
    <w:basedOn w:val="Elenco"/>
    <w:pPr>
      <w:ind w:left="1800"/>
    </w:pPr>
  </w:style>
  <w:style w:type="character" w:styleId="Enfasicorsivo">
    <w:name w:val="Emphasis"/>
    <w:qFormat/>
    <w:rPr>
      <w:rFonts w:ascii="Arial" w:hAnsi="Arial"/>
      <w:b/>
      <w:spacing w:val="-4"/>
    </w:rPr>
  </w:style>
  <w:style w:type="character" w:styleId="Rimandocommento">
    <w:name w:val="annotation reference"/>
    <w:semiHidden/>
    <w:rsid w:val="006E2457"/>
    <w:rPr>
      <w:rFonts w:ascii="Cambria" w:hAnsi="Cambria"/>
      <w:color w:val="000000"/>
      <w:sz w:val="16"/>
    </w:rPr>
  </w:style>
  <w:style w:type="paragraph" w:styleId="Testocommento">
    <w:name w:val="annotation text"/>
    <w:basedOn w:val="BasePidipagina"/>
    <w:semiHidden/>
  </w:style>
  <w:style w:type="paragraph" w:styleId="Numeroelenco2">
    <w:name w:val="List Number 2"/>
    <w:basedOn w:val="Numeroelenco"/>
    <w:pPr>
      <w:ind w:left="2160"/>
    </w:pPr>
  </w:style>
  <w:style w:type="paragraph" w:styleId="Elencocontinua">
    <w:name w:val="List Continue"/>
    <w:basedOn w:val="Elenco"/>
    <w:pPr>
      <w:ind w:left="1800" w:firstLine="0"/>
    </w:pPr>
  </w:style>
  <w:style w:type="paragraph" w:styleId="Elencocontinua2">
    <w:name w:val="List Continue 2"/>
    <w:basedOn w:val="Elencocontinua"/>
    <w:pPr>
      <w:ind w:left="2160"/>
    </w:pPr>
  </w:style>
  <w:style w:type="paragraph" w:styleId="Elencocontinua3">
    <w:name w:val="List Continue 3"/>
    <w:basedOn w:val="Elencocontinua"/>
    <w:pPr>
      <w:ind w:left="2520"/>
    </w:pPr>
  </w:style>
  <w:style w:type="paragraph" w:styleId="Elencocontinua4">
    <w:name w:val="List Continue 4"/>
    <w:basedOn w:val="Elencocontinua"/>
    <w:pPr>
      <w:ind w:left="2880"/>
    </w:pPr>
  </w:style>
  <w:style w:type="paragraph" w:styleId="Elencocontinua5">
    <w:name w:val="List Continue 5"/>
    <w:basedOn w:val="Elencocontinua"/>
    <w:pPr>
      <w:ind w:left="3240"/>
    </w:pPr>
  </w:style>
  <w:style w:type="paragraph" w:styleId="Rientronormale">
    <w:name w:val="Normal Indent"/>
    <w:basedOn w:val="Normale"/>
    <w:pPr>
      <w:ind w:left="1440"/>
    </w:pPr>
  </w:style>
  <w:style w:type="paragraph" w:customStyle="1" w:styleId="Mittente">
    <w:name w:val="Mittente"/>
    <w:basedOn w:val="Normale"/>
    <w:pPr>
      <w:keepLines/>
      <w:framePr w:w="2160" w:h="1195" w:wrap="notBeside" w:vAnchor="page" w:hAnchor="margin" w:xAlign="right" w:y="678" w:anchorLock="1"/>
    </w:pPr>
    <w:rPr>
      <w:sz w:val="16"/>
    </w:rPr>
  </w:style>
  <w:style w:type="character" w:customStyle="1" w:styleId="Slogan">
    <w:name w:val="Slogan"/>
    <w:rPr>
      <w:i/>
      <w:spacing w:val="-6"/>
      <w:sz w:val="24"/>
      <w:lang w:val="it-IT"/>
    </w:rPr>
  </w:style>
  <w:style w:type="paragraph" w:customStyle="1" w:styleId="Nomesociet">
    <w:name w:val="Nome società"/>
    <w:basedOn w:val="Etichettadocumento"/>
    <w:pPr>
      <w:spacing w:before="0"/>
    </w:pPr>
    <w:rPr>
      <w:rFonts w:ascii="Times" w:hAnsi="Times"/>
      <w:sz w:val="48"/>
    </w:rPr>
  </w:style>
  <w:style w:type="paragraph" w:customStyle="1" w:styleId="Etichettaparte">
    <w:name w:val="Etichetta parte"/>
    <w:basedOn w:val="BaseTitolo"/>
    <w:next w:val="Normale"/>
    <w:pPr>
      <w:spacing w:before="400" w:after="440"/>
    </w:pPr>
    <w:rPr>
      <w:rFonts w:ascii="Times New Roman" w:hAnsi="Times New Roman"/>
      <w:spacing w:val="-30"/>
      <w:sz w:val="60"/>
    </w:rPr>
  </w:style>
  <w:style w:type="paragraph" w:customStyle="1" w:styleId="Sottotitoloparte">
    <w:name w:val="Sottotitolo parte"/>
    <w:basedOn w:val="Normale"/>
    <w:next w:val="Normale"/>
    <w:pPr>
      <w:keepNext/>
      <w:keepLines/>
      <w:spacing w:after="160" w:line="400" w:lineRule="atLeast"/>
      <w:ind w:right="2160"/>
    </w:pPr>
    <w:rPr>
      <w:i/>
      <w:spacing w:val="-14"/>
      <w:kern w:val="28"/>
      <w:sz w:val="34"/>
    </w:rPr>
  </w:style>
  <w:style w:type="paragraph" w:customStyle="1" w:styleId="Titoloparte">
    <w:name w:val="Titolo parte"/>
    <w:basedOn w:val="BaseTitolo"/>
    <w:next w:val="Sottotitoloparte"/>
    <w:pPr>
      <w:spacing w:before="660" w:after="400" w:line="540" w:lineRule="atLeast"/>
      <w:ind w:right="2160"/>
    </w:pPr>
    <w:rPr>
      <w:rFonts w:ascii="Times New Roman" w:hAnsi="Times New Roman"/>
      <w:spacing w:val="-40"/>
      <w:sz w:val="60"/>
    </w:rPr>
  </w:style>
  <w:style w:type="paragraph" w:styleId="Indicefonti">
    <w:name w:val="table of authorities"/>
    <w:basedOn w:val="Normale"/>
    <w:semiHidden/>
    <w:pPr>
      <w:tabs>
        <w:tab w:val="right" w:leader="dot" w:pos="7560"/>
      </w:tabs>
      <w:ind w:left="1440" w:hanging="360"/>
    </w:pPr>
  </w:style>
  <w:style w:type="paragraph" w:styleId="Titoloindicefonti">
    <w:name w:val="toa heading"/>
    <w:basedOn w:val="Normale"/>
    <w:next w:val="Indicefonti"/>
    <w:semiHidden/>
    <w:pPr>
      <w:keepNext/>
      <w:spacing w:before="240" w:after="120" w:line="360" w:lineRule="exact"/>
    </w:pPr>
    <w:rPr>
      <w:rFonts w:ascii="Arial" w:hAnsi="Arial"/>
      <w:b/>
      <w:kern w:val="28"/>
      <w:sz w:val="28"/>
    </w:rPr>
  </w:style>
  <w:style w:type="paragraph" w:styleId="Intestazionemessaggio">
    <w:name w:val="Message Header"/>
    <w:basedOn w:val="Normale"/>
    <w:pPr>
      <w:keepLines/>
      <w:tabs>
        <w:tab w:val="left" w:pos="3600"/>
        <w:tab w:val="left" w:pos="4680"/>
      </w:tabs>
      <w:spacing w:after="120" w:line="280" w:lineRule="exact"/>
      <w:ind w:right="2160" w:hanging="1080"/>
    </w:pPr>
    <w:rPr>
      <w:rFonts w:ascii="Arial" w:hAnsi="Arial"/>
      <w:sz w:val="22"/>
    </w:rPr>
  </w:style>
  <w:style w:type="character" w:styleId="Collegamentoipertestuale">
    <w:name w:val="Hyperlink"/>
    <w:rPr>
      <w:color w:val="0000FF"/>
      <w:u w:val="single"/>
      <w:lang w:val="it-IT"/>
    </w:rPr>
  </w:style>
  <w:style w:type="character" w:styleId="Collegamentovisitato">
    <w:name w:val="FollowedHyperlink"/>
    <w:rPr>
      <w:color w:val="800080"/>
      <w:u w:val="single"/>
      <w:lang w:val="it-IT"/>
    </w:rPr>
  </w:style>
  <w:style w:type="paragraph" w:styleId="Data">
    <w:name w:val="Date"/>
    <w:basedOn w:val="Normale"/>
    <w:next w:val="Normale"/>
  </w:style>
  <w:style w:type="character" w:styleId="Enfasigrassetto">
    <w:name w:val="Strong"/>
    <w:qFormat/>
    <w:rPr>
      <w:b/>
      <w:bCs/>
      <w:lang w:val="it-IT"/>
    </w:rPr>
  </w:style>
  <w:style w:type="paragraph" w:styleId="Firma">
    <w:name w:val="Signature"/>
    <w:basedOn w:val="Normale"/>
    <w:pPr>
      <w:ind w:left="4320"/>
    </w:pPr>
  </w:style>
  <w:style w:type="paragraph" w:styleId="Firmadipostaelettronica">
    <w:name w:val="E-mail Signature"/>
    <w:basedOn w:val="Normale"/>
  </w:style>
  <w:style w:type="paragraph" w:styleId="Formuladiapertura">
    <w:name w:val="Salutation"/>
    <w:basedOn w:val="Normale"/>
    <w:next w:val="Normale"/>
  </w:style>
  <w:style w:type="paragraph" w:styleId="Formuladichiusura">
    <w:name w:val="Closing"/>
    <w:basedOn w:val="Normale"/>
    <w:pPr>
      <w:ind w:left="4320"/>
    </w:pPr>
  </w:style>
  <w:style w:type="paragraph" w:styleId="Indice6">
    <w:name w:val="index 6"/>
    <w:basedOn w:val="Normale"/>
    <w:next w:val="Normale"/>
    <w:autoRedefine/>
    <w:semiHidden/>
    <w:pPr>
      <w:ind w:left="1200" w:hanging="200"/>
    </w:pPr>
  </w:style>
  <w:style w:type="paragraph" w:styleId="Indice7">
    <w:name w:val="index 7"/>
    <w:basedOn w:val="Normale"/>
    <w:next w:val="Normale"/>
    <w:autoRedefine/>
    <w:semiHidden/>
    <w:pPr>
      <w:ind w:left="1400" w:hanging="200"/>
    </w:pPr>
  </w:style>
  <w:style w:type="paragraph" w:styleId="Indice8">
    <w:name w:val="index 8"/>
    <w:basedOn w:val="Normale"/>
    <w:next w:val="Normale"/>
    <w:autoRedefine/>
    <w:semiHidden/>
    <w:pPr>
      <w:ind w:left="1600" w:hanging="200"/>
    </w:pPr>
  </w:style>
  <w:style w:type="paragraph" w:styleId="Indice9">
    <w:name w:val="index 9"/>
    <w:basedOn w:val="Normale"/>
    <w:next w:val="Normale"/>
    <w:autoRedefine/>
    <w:semiHidden/>
    <w:pPr>
      <w:ind w:left="1800" w:hanging="200"/>
    </w:pPr>
  </w:style>
  <w:style w:type="paragraph" w:styleId="Indirizzodestinatario">
    <w:name w:val="envelope address"/>
    <w:basedOn w:val="Normale"/>
    <w:pPr>
      <w:framePr w:w="7920" w:h="1980" w:hRule="exact" w:hSpace="141" w:wrap="auto" w:hAnchor="page" w:xAlign="center" w:yAlign="bottom"/>
      <w:ind w:left="2880"/>
    </w:pPr>
    <w:rPr>
      <w:rFonts w:ascii="Arial" w:hAnsi="Arial" w:cs="Arial"/>
      <w:sz w:val="24"/>
      <w:szCs w:val="24"/>
    </w:rPr>
  </w:style>
  <w:style w:type="paragraph" w:styleId="IndirizzoHTML">
    <w:name w:val="HTML Address"/>
    <w:basedOn w:val="Normale"/>
    <w:rPr>
      <w:i/>
      <w:iCs/>
    </w:rPr>
  </w:style>
  <w:style w:type="paragraph" w:styleId="Indirizzomittente">
    <w:name w:val="envelope return"/>
    <w:basedOn w:val="Normale"/>
    <w:rPr>
      <w:rFonts w:ascii="Arial" w:hAnsi="Arial" w:cs="Arial"/>
    </w:rPr>
  </w:style>
  <w:style w:type="paragraph" w:styleId="Intestazionenota">
    <w:name w:val="Note Heading"/>
    <w:basedOn w:val="Normale"/>
    <w:next w:val="Normale"/>
  </w:style>
  <w:style w:type="character" w:styleId="MacchinadascrivereHTML">
    <w:name w:val="HTML Typewriter"/>
    <w:rPr>
      <w:rFonts w:ascii="Courier New" w:hAnsi="Courier New"/>
      <w:sz w:val="20"/>
      <w:szCs w:val="20"/>
      <w:lang w:val="it-IT"/>
    </w:rPr>
  </w:style>
  <w:style w:type="paragraph" w:styleId="Mappadocumento">
    <w:name w:val="Document Map"/>
    <w:basedOn w:val="Normale"/>
    <w:semiHidden/>
    <w:pPr>
      <w:shd w:val="clear" w:color="auto" w:fill="000080"/>
    </w:pPr>
    <w:rPr>
      <w:rFonts w:ascii="Tahoma" w:hAnsi="Tahoma" w:cs="Tahoma"/>
    </w:rPr>
  </w:style>
  <w:style w:type="paragraph" w:styleId="PreformattatoHTML">
    <w:name w:val="HTML Preformatted"/>
    <w:basedOn w:val="Normale"/>
    <w:rPr>
      <w:rFonts w:ascii="Courier New" w:hAnsi="Courier New" w:cs="Courier New"/>
    </w:rPr>
  </w:style>
  <w:style w:type="paragraph" w:styleId="Primorientrocorpodeltesto">
    <w:name w:val="Body Text First Indent"/>
    <w:basedOn w:val="Normale"/>
    <w:pPr>
      <w:spacing w:after="120" w:line="240" w:lineRule="auto"/>
      <w:ind w:firstLine="210"/>
    </w:pPr>
  </w:style>
  <w:style w:type="paragraph" w:styleId="Primorientrocorpodeltesto2">
    <w:name w:val="Body Text First Indent 2"/>
    <w:basedOn w:val="Rientrocorpodeltesto"/>
    <w:pPr>
      <w:spacing w:after="120" w:line="240" w:lineRule="auto"/>
      <w:ind w:left="360" w:firstLine="210"/>
    </w:pPr>
  </w:style>
  <w:style w:type="paragraph" w:styleId="Rientrocorpodeltesto2">
    <w:name w:val="Body Text Indent 2"/>
    <w:basedOn w:val="Normale"/>
    <w:pPr>
      <w:spacing w:after="120" w:line="480" w:lineRule="auto"/>
      <w:ind w:left="360"/>
    </w:pPr>
  </w:style>
  <w:style w:type="paragraph" w:styleId="Rientrocorpodeltesto3">
    <w:name w:val="Body Text Indent 3"/>
    <w:basedOn w:val="Normale"/>
    <w:pPr>
      <w:spacing w:after="120"/>
      <w:ind w:left="360"/>
    </w:pPr>
    <w:rPr>
      <w:sz w:val="16"/>
      <w:szCs w:val="16"/>
    </w:rPr>
  </w:style>
  <w:style w:type="paragraph" w:styleId="Sommario6">
    <w:name w:val="toc 6"/>
    <w:basedOn w:val="Normale"/>
    <w:next w:val="Normale"/>
    <w:autoRedefine/>
    <w:semiHidden/>
    <w:pPr>
      <w:ind w:left="1000"/>
    </w:pPr>
  </w:style>
  <w:style w:type="paragraph" w:styleId="Sommario7">
    <w:name w:val="toc 7"/>
    <w:basedOn w:val="Normale"/>
    <w:next w:val="Normale"/>
    <w:autoRedefine/>
    <w:semiHidden/>
    <w:pPr>
      <w:ind w:left="1200"/>
    </w:pPr>
  </w:style>
  <w:style w:type="paragraph" w:styleId="Sommario8">
    <w:name w:val="toc 8"/>
    <w:basedOn w:val="Normale"/>
    <w:next w:val="Normale"/>
    <w:autoRedefine/>
    <w:semiHidden/>
    <w:pPr>
      <w:ind w:left="1400"/>
    </w:pPr>
  </w:style>
  <w:style w:type="paragraph" w:styleId="Sommario9">
    <w:name w:val="toc 9"/>
    <w:basedOn w:val="Normale"/>
    <w:next w:val="Normale"/>
    <w:autoRedefine/>
    <w:semiHidden/>
    <w:pPr>
      <w:ind w:left="1600"/>
    </w:pPr>
  </w:style>
  <w:style w:type="paragraph" w:styleId="Testodelblocco">
    <w:name w:val="Block Text"/>
    <w:basedOn w:val="Normale"/>
    <w:pPr>
      <w:spacing w:after="120"/>
      <w:ind w:left="1440" w:right="1440"/>
    </w:pPr>
  </w:style>
  <w:style w:type="paragraph" w:styleId="Testonormale">
    <w:name w:val="Plain Text"/>
    <w:basedOn w:val="Normale"/>
    <w:rPr>
      <w:rFonts w:ascii="Courier New" w:hAnsi="Courier New" w:cs="Courier New"/>
    </w:rPr>
  </w:style>
  <w:style w:type="paragraph" w:customStyle="1" w:styleId="ListBullet1">
    <w:name w:val="List Bullet1"/>
    <w:basedOn w:val="Normale"/>
    <w:pPr>
      <w:spacing w:before="100" w:beforeAutospacing="1" w:after="100" w:afterAutospacing="1"/>
    </w:pPr>
    <w:rPr>
      <w:sz w:val="24"/>
      <w:szCs w:val="24"/>
      <w:lang w:eastAsia="it-IT"/>
    </w:rPr>
  </w:style>
  <w:style w:type="table" w:styleId="Grigliatabella">
    <w:name w:val="Table Grid"/>
    <w:basedOn w:val="Tabellanormale"/>
    <w:uiPriority w:val="59"/>
    <w:rsid w:val="00C867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C867FE"/>
    <w:rPr>
      <w:rFonts w:ascii="Arial" w:hAnsi="Arial"/>
      <w:spacing w:val="-4"/>
      <w:lang w:val="it-IT" w:eastAsia="en-US"/>
    </w:rPr>
  </w:style>
  <w:style w:type="paragraph" w:styleId="Testofumetto">
    <w:name w:val="Balloon Text"/>
    <w:basedOn w:val="Normale"/>
    <w:link w:val="TestofumettoCarattere"/>
    <w:rsid w:val="00C867FE"/>
    <w:pPr>
      <w:spacing w:line="240" w:lineRule="auto"/>
    </w:pPr>
    <w:rPr>
      <w:rFonts w:ascii="Tahoma" w:hAnsi="Tahoma"/>
      <w:sz w:val="16"/>
      <w:szCs w:val="16"/>
    </w:rPr>
  </w:style>
  <w:style w:type="character" w:customStyle="1" w:styleId="TestofumettoCarattere">
    <w:name w:val="Testo fumetto Carattere"/>
    <w:link w:val="Testofumetto"/>
    <w:rsid w:val="00C867FE"/>
    <w:rPr>
      <w:rFonts w:ascii="Tahoma" w:hAnsi="Tahoma" w:cs="Tahoma"/>
      <w:sz w:val="16"/>
      <w:szCs w:val="16"/>
      <w:lang w:val="it-IT" w:eastAsia="en-US"/>
    </w:rPr>
  </w:style>
  <w:style w:type="character" w:customStyle="1" w:styleId="Titolo5Carattere">
    <w:name w:val="Titolo 5 Carattere"/>
    <w:link w:val="Titolo5"/>
    <w:uiPriority w:val="9"/>
    <w:rsid w:val="006924C6"/>
    <w:rPr>
      <w:rFonts w:ascii="Calibri" w:hAnsi="Calibri"/>
      <w:b/>
      <w:color w:val="000000"/>
      <w:kern w:val="28"/>
      <w:sz w:val="26"/>
      <w:szCs w:val="22"/>
      <w:lang w:eastAsia="en-US"/>
    </w:rPr>
  </w:style>
  <w:style w:type="character" w:customStyle="1" w:styleId="Titolo1Carattere">
    <w:name w:val="Titolo 1 Carattere"/>
    <w:link w:val="Titolo1"/>
    <w:uiPriority w:val="9"/>
    <w:rsid w:val="006924C6"/>
    <w:rPr>
      <w:rFonts w:ascii="Calibri" w:hAnsi="Calibri"/>
      <w:b/>
      <w:bCs/>
      <w:color w:val="000000"/>
      <w:kern w:val="28"/>
      <w:sz w:val="40"/>
      <w:szCs w:val="28"/>
      <w:lang w:eastAsia="en-US"/>
    </w:rPr>
  </w:style>
  <w:style w:type="character" w:customStyle="1" w:styleId="Titolo2Carattere">
    <w:name w:val="Titolo 2 Carattere"/>
    <w:link w:val="Titolo2"/>
    <w:uiPriority w:val="9"/>
    <w:rsid w:val="006924C6"/>
    <w:rPr>
      <w:rFonts w:ascii="Calibri" w:hAnsi="Calibri"/>
      <w:b/>
      <w:bCs/>
      <w:color w:val="000000"/>
      <w:kern w:val="28"/>
      <w:sz w:val="36"/>
      <w:szCs w:val="26"/>
      <w:lang w:eastAsia="en-US"/>
    </w:rPr>
  </w:style>
  <w:style w:type="character" w:customStyle="1" w:styleId="Titolo3Carattere">
    <w:name w:val="Titolo 3 Carattere"/>
    <w:link w:val="Titolo3"/>
    <w:uiPriority w:val="9"/>
    <w:rsid w:val="006924C6"/>
    <w:rPr>
      <w:rFonts w:ascii="Calibri" w:hAnsi="Calibri"/>
      <w:b/>
      <w:bCs/>
      <w:color w:val="000000"/>
      <w:kern w:val="28"/>
      <w:sz w:val="32"/>
      <w:szCs w:val="22"/>
      <w:lang w:eastAsia="en-US"/>
    </w:rPr>
  </w:style>
  <w:style w:type="character" w:customStyle="1" w:styleId="Titolo4Carattere">
    <w:name w:val="Titolo 4 Carattere"/>
    <w:link w:val="Titolo4"/>
    <w:uiPriority w:val="9"/>
    <w:rsid w:val="006924C6"/>
    <w:rPr>
      <w:rFonts w:ascii="Calibri" w:hAnsi="Calibri"/>
      <w:b/>
      <w:bCs/>
      <w:iCs/>
      <w:color w:val="000000"/>
      <w:kern w:val="28"/>
      <w:sz w:val="28"/>
      <w:szCs w:val="22"/>
      <w:lang w:eastAsia="en-US"/>
    </w:rPr>
  </w:style>
  <w:style w:type="character" w:customStyle="1" w:styleId="Titolo6Carattere">
    <w:name w:val="Titolo 6 Carattere"/>
    <w:link w:val="Titolo6"/>
    <w:uiPriority w:val="9"/>
    <w:rsid w:val="006924C6"/>
    <w:rPr>
      <w:rFonts w:ascii="Calibri" w:hAnsi="Calibri"/>
      <w:b/>
      <w:i/>
      <w:iCs/>
      <w:color w:val="000000"/>
      <w:kern w:val="28"/>
      <w:sz w:val="24"/>
      <w:szCs w:val="22"/>
      <w:lang w:eastAsia="en-US"/>
    </w:rPr>
  </w:style>
  <w:style w:type="character" w:customStyle="1" w:styleId="Titolo7Carattere">
    <w:name w:val="Titolo 7 Carattere"/>
    <w:link w:val="Titolo7"/>
    <w:uiPriority w:val="9"/>
    <w:rsid w:val="006924C6"/>
    <w:rPr>
      <w:rFonts w:ascii="Calibri" w:hAnsi="Calibri"/>
      <w:iCs/>
      <w:color w:val="000000"/>
      <w:kern w:val="28"/>
      <w:sz w:val="24"/>
      <w:szCs w:val="22"/>
      <w:lang w:eastAsia="en-US"/>
    </w:rPr>
  </w:style>
  <w:style w:type="character" w:customStyle="1" w:styleId="Titolo8Carattere">
    <w:name w:val="Titolo 8 Carattere"/>
    <w:link w:val="Titolo8"/>
    <w:uiPriority w:val="9"/>
    <w:rsid w:val="006924C6"/>
    <w:rPr>
      <w:rFonts w:ascii="Calibri" w:hAnsi="Calibri"/>
      <w:i/>
      <w:color w:val="000000"/>
      <w:kern w:val="28"/>
      <w:sz w:val="24"/>
      <w:lang w:eastAsia="en-US"/>
    </w:rPr>
  </w:style>
  <w:style w:type="character" w:customStyle="1" w:styleId="Titolo9Carattere">
    <w:name w:val="Titolo 9 Carattere"/>
    <w:link w:val="Titolo9"/>
    <w:uiPriority w:val="9"/>
    <w:rsid w:val="006924C6"/>
    <w:rPr>
      <w:rFonts w:ascii="Calibri" w:hAnsi="Calibri"/>
      <w:i/>
      <w:iCs/>
      <w:color w:val="000000"/>
      <w:kern w:val="28"/>
      <w:sz w:val="22"/>
      <w:lang w:eastAsia="en-US"/>
    </w:rPr>
  </w:style>
  <w:style w:type="paragraph" w:customStyle="1" w:styleId="Corsivo">
    <w:name w:val="Corsivo"/>
    <w:basedOn w:val="Normale"/>
    <w:qFormat/>
    <w:rsid w:val="006924C6"/>
    <w:rPr>
      <w:i/>
    </w:rPr>
  </w:style>
  <w:style w:type="paragraph" w:customStyle="1" w:styleId="Ragionesociale">
    <w:name w:val="Ragione sociale"/>
    <w:basedOn w:val="Titolo"/>
    <w:qFormat/>
    <w:rsid w:val="006924C6"/>
    <w:rPr>
      <w:sz w:val="48"/>
    </w:rPr>
  </w:style>
  <w:style w:type="character" w:customStyle="1" w:styleId="TitoloCarattere">
    <w:name w:val="Titolo Carattere"/>
    <w:basedOn w:val="Carpredefinitoparagrafo"/>
    <w:link w:val="Titolo"/>
    <w:rsid w:val="006924C6"/>
    <w:rPr>
      <w:rFonts w:ascii="Calibri" w:eastAsia="Calibri" w:hAnsi="Calibri"/>
      <w:color w:val="000000"/>
      <w:kern w:val="28"/>
      <w:sz w:val="60"/>
      <w:szCs w:val="22"/>
      <w:lang w:eastAsia="en-US"/>
    </w:rPr>
  </w:style>
  <w:style w:type="paragraph" w:customStyle="1" w:styleId="Titolocentrato">
    <w:name w:val="Titolo centrato"/>
    <w:basedOn w:val="Titolo"/>
    <w:qFormat/>
    <w:rsid w:val="006924C6"/>
    <w:pPr>
      <w:spacing w:line="240" w:lineRule="auto"/>
      <w:jc w:val="center"/>
    </w:pPr>
    <w:rPr>
      <w:b/>
    </w:rPr>
  </w:style>
  <w:style w:type="paragraph" w:styleId="Paragrafoelenco">
    <w:name w:val="List Paragraph"/>
    <w:basedOn w:val="Normale"/>
    <w:uiPriority w:val="34"/>
    <w:qFormat/>
    <w:rsid w:val="0042089B"/>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8394952">
      <w:bodyDiv w:val="1"/>
      <w:marLeft w:val="0"/>
      <w:marRight w:val="0"/>
      <w:marTop w:val="0"/>
      <w:marBottom w:val="0"/>
      <w:divBdr>
        <w:top w:val="none" w:sz="0" w:space="0" w:color="auto"/>
        <w:left w:val="none" w:sz="0" w:space="0" w:color="auto"/>
        <w:bottom w:val="none" w:sz="0" w:space="0" w:color="auto"/>
        <w:right w:val="none" w:sz="0" w:space="0" w:color="auto"/>
      </w:divBdr>
    </w:div>
    <w:div w:id="186124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4F4AC8-0E01-48A2-B9EA-A705911C6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8374</Words>
  <Characters>47736</Characters>
  <Application>Microsoft Office Word</Application>
  <DocSecurity>0</DocSecurity>
  <PresentationFormat/>
  <Lines>397</Lines>
  <Paragraphs>111</Paragraphs>
  <Slides>0</Slides>
  <Notes>0</Notes>
  <HiddenSlides>0</HiddenSlides>
  <MMClips>0</MMClip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Modello Bilanci 3</vt:lpstr>
      <vt:lpstr>Modello Bilanci 3</vt:lpstr>
    </vt:vector>
  </TitlesOfParts>
  <Manager/>
  <Company/>
  <LinksUpToDate>false</LinksUpToDate>
  <CharactersWithSpaces>55999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Bilanci 3</dc:title>
  <dc:subject/>
  <dc:creator/>
  <cp:keywords/>
  <dc:description/>
  <cp:lastModifiedBy/>
  <cp:revision>1</cp:revision>
  <cp:lastPrinted>2006-11-03T10:26:00Z</cp:lastPrinted>
  <dcterms:created xsi:type="dcterms:W3CDTF">2026-06-22T19:50:00Z</dcterms:created>
  <dcterms:modified xsi:type="dcterms:W3CDTF">2026-06-22T19:50:00Z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1040</vt:i4>
  </property>
  <property fmtid="{D5CDD505-2E9C-101B-9397-08002B2CF9AE}" pid="3" name="Version">
    <vt:i4>2003051900</vt:i4>
  </property>
  <property fmtid="{D5CDD505-2E9C-101B-9397-08002B2CF9AE}" pid="4" name="UseDefaultLanguage">
    <vt:bool>true</vt:bool>
  </property>
</Properties>
</file>