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89B" w:rsidRPr="00B559F0" w:rsidRDefault="009A22DA" w:rsidP="0003589B">
      <w:pPr>
        <w:pStyle w:val="Ragionesociale"/>
        <w:jc w:val="cente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81.5pt;height:106.5pt;visibility:visible;mso-wrap-style:square">
            <v:imagedata r:id="rId7" o:title=""/>
          </v:shape>
        </w:pict>
      </w:r>
    </w:p>
    <w:tbl>
      <w:tblPr>
        <w:tblW w:w="0" w:type="auto"/>
        <w:tblLook w:val="04A0" w:firstRow="1" w:lastRow="0" w:firstColumn="1" w:lastColumn="0" w:noHBand="0" w:noVBand="1"/>
      </w:tblPr>
      <w:tblGrid>
        <w:gridCol w:w="5005"/>
        <w:gridCol w:w="5006"/>
      </w:tblGrid>
      <w:tr w:rsidR="005B5701" w:rsidRPr="005B5701" w:rsidTr="00DB0DF0">
        <w:tc>
          <w:tcPr>
            <w:tcW w:w="5005" w:type="dxa"/>
            <w:vAlign w:val="center"/>
          </w:tcPr>
          <w:p w:rsidR="005B5701" w:rsidRPr="005B5701" w:rsidRDefault="005B5701" w:rsidP="005B5701">
            <w:pPr>
              <w:jc w:val="right"/>
              <w:rPr>
                <w:rFonts w:eastAsia="Times New Roman"/>
              </w:rPr>
            </w:pPr>
            <w:r w:rsidRPr="005B5701">
              <w:rPr>
                <w:rFonts w:eastAsia="Times New Roman"/>
              </w:rPr>
              <w:t>Sede:</w:t>
            </w:r>
          </w:p>
        </w:tc>
        <w:tc>
          <w:tcPr>
            <w:tcW w:w="5006" w:type="dxa"/>
            <w:vAlign w:val="center"/>
          </w:tcPr>
          <w:p w:rsidR="005B5701" w:rsidRPr="005B5701" w:rsidRDefault="005B5701" w:rsidP="005B5701">
            <w:pPr>
              <w:rPr>
                <w:rFonts w:eastAsia="Times New Roman"/>
              </w:rPr>
            </w:pPr>
            <w:r w:rsidRPr="005B5701">
              <w:rPr>
                <w:rFonts w:eastAsia="Times New Roman"/>
              </w:rPr>
              <w:t>Via G. Matteotti 8/C MOGLIANO VENETO TV</w:t>
            </w:r>
          </w:p>
        </w:tc>
      </w:tr>
      <w:tr w:rsidR="005B5701" w:rsidRPr="005B5701" w:rsidTr="00DB0DF0">
        <w:tc>
          <w:tcPr>
            <w:tcW w:w="5005" w:type="dxa"/>
            <w:vAlign w:val="center"/>
          </w:tcPr>
          <w:p w:rsidR="005B5701" w:rsidRPr="005B5701" w:rsidRDefault="005B5701" w:rsidP="005B5701">
            <w:pPr>
              <w:jc w:val="right"/>
              <w:rPr>
                <w:rFonts w:eastAsia="Times New Roman"/>
              </w:rPr>
            </w:pPr>
            <w:r w:rsidRPr="005B5701">
              <w:rPr>
                <w:rFonts w:eastAsia="Times New Roman"/>
              </w:rPr>
              <w:t>Codice fiscale:</w:t>
            </w:r>
          </w:p>
        </w:tc>
        <w:tc>
          <w:tcPr>
            <w:tcW w:w="5006" w:type="dxa"/>
            <w:vAlign w:val="center"/>
          </w:tcPr>
          <w:p w:rsidR="005B5701" w:rsidRPr="005B5701" w:rsidRDefault="005B5701" w:rsidP="005B5701">
            <w:pPr>
              <w:rPr>
                <w:rFonts w:eastAsia="Times New Roman"/>
              </w:rPr>
            </w:pPr>
            <w:r w:rsidRPr="005B5701">
              <w:rPr>
                <w:rFonts w:eastAsia="Times New Roman"/>
              </w:rPr>
              <w:t>94127050261</w:t>
            </w:r>
          </w:p>
        </w:tc>
      </w:tr>
      <w:tr w:rsidR="005B5701" w:rsidRPr="005B5701" w:rsidTr="00DB0DF0">
        <w:tc>
          <w:tcPr>
            <w:tcW w:w="5005" w:type="dxa"/>
            <w:vAlign w:val="center"/>
          </w:tcPr>
          <w:p w:rsidR="005B5701" w:rsidRPr="005B5701" w:rsidRDefault="005B5701" w:rsidP="005B5701">
            <w:pPr>
              <w:jc w:val="right"/>
              <w:rPr>
                <w:rFonts w:eastAsia="Times New Roman"/>
              </w:rPr>
            </w:pPr>
            <w:r w:rsidRPr="005B5701">
              <w:rPr>
                <w:rFonts w:eastAsia="Times New Roman"/>
              </w:rPr>
              <w:t>Forma giuridica:</w:t>
            </w:r>
          </w:p>
        </w:tc>
        <w:tc>
          <w:tcPr>
            <w:tcW w:w="5006" w:type="dxa"/>
            <w:vAlign w:val="center"/>
          </w:tcPr>
          <w:p w:rsidR="005B5701" w:rsidRPr="005B5701" w:rsidRDefault="005B5701" w:rsidP="005B5701">
            <w:pPr>
              <w:rPr>
                <w:rFonts w:eastAsia="Times New Roman"/>
              </w:rPr>
            </w:pPr>
            <w:r w:rsidRPr="005B5701">
              <w:rPr>
                <w:rFonts w:eastAsia="Times New Roman"/>
              </w:rPr>
              <w:t>FONDAZIONE</w:t>
            </w:r>
          </w:p>
        </w:tc>
      </w:tr>
      <w:tr w:rsidR="005B5701" w:rsidRPr="005B5701" w:rsidTr="00DB0DF0">
        <w:tc>
          <w:tcPr>
            <w:tcW w:w="5005" w:type="dxa"/>
            <w:vAlign w:val="center"/>
          </w:tcPr>
          <w:p w:rsidR="005B5701" w:rsidRPr="005B5701" w:rsidRDefault="005B5701" w:rsidP="005B5701">
            <w:pPr>
              <w:jc w:val="right"/>
              <w:rPr>
                <w:rFonts w:eastAsia="Times New Roman"/>
              </w:rPr>
            </w:pPr>
            <w:r w:rsidRPr="005B5701">
              <w:rPr>
                <w:rFonts w:eastAsia="Times New Roman"/>
              </w:rPr>
              <w:t>Numero di iscrizione al RUNTS:</w:t>
            </w:r>
          </w:p>
        </w:tc>
        <w:tc>
          <w:tcPr>
            <w:tcW w:w="5006" w:type="dxa"/>
            <w:vAlign w:val="center"/>
          </w:tcPr>
          <w:p w:rsidR="005B5701" w:rsidRPr="005B5701" w:rsidRDefault="005B5701" w:rsidP="005B5701">
            <w:pPr>
              <w:rPr>
                <w:rFonts w:eastAsia="Times New Roman"/>
              </w:rPr>
            </w:pPr>
            <w:r w:rsidRPr="005B5701">
              <w:rPr>
                <w:rFonts w:eastAsia="Times New Roman"/>
              </w:rPr>
              <w:t>162501</w:t>
            </w:r>
          </w:p>
        </w:tc>
      </w:tr>
      <w:tr w:rsidR="005B5701" w:rsidRPr="005B5701" w:rsidTr="00DB0DF0">
        <w:tc>
          <w:tcPr>
            <w:tcW w:w="5005" w:type="dxa"/>
            <w:vAlign w:val="center"/>
          </w:tcPr>
          <w:p w:rsidR="005B5701" w:rsidRPr="005B5701" w:rsidRDefault="005B5701" w:rsidP="005B5701">
            <w:pPr>
              <w:jc w:val="right"/>
              <w:rPr>
                <w:rFonts w:eastAsia="Times New Roman"/>
              </w:rPr>
            </w:pPr>
            <w:r w:rsidRPr="005B5701">
              <w:rPr>
                <w:rFonts w:eastAsia="Times New Roman"/>
              </w:rPr>
              <w:t>Sezione di iscrizione al RUNTS:</w:t>
            </w:r>
          </w:p>
        </w:tc>
        <w:tc>
          <w:tcPr>
            <w:tcW w:w="5006" w:type="dxa"/>
            <w:vAlign w:val="center"/>
          </w:tcPr>
          <w:p w:rsidR="005B5701" w:rsidRPr="005B5701" w:rsidRDefault="005B5701" w:rsidP="005B5701">
            <w:pPr>
              <w:rPr>
                <w:rFonts w:eastAsia="Times New Roman"/>
              </w:rPr>
            </w:pPr>
            <w:r w:rsidRPr="005B5701">
              <w:rPr>
                <w:rFonts w:eastAsia="Times New Roman"/>
              </w:rPr>
              <w:t>g) Altri enti del terzo settore</w:t>
            </w:r>
          </w:p>
        </w:tc>
      </w:tr>
      <w:tr w:rsidR="005B5701" w:rsidRPr="005B5701" w:rsidTr="00DB0DF0">
        <w:tc>
          <w:tcPr>
            <w:tcW w:w="5005" w:type="dxa"/>
            <w:vAlign w:val="center"/>
          </w:tcPr>
          <w:p w:rsidR="005B5701" w:rsidRPr="005B5701" w:rsidRDefault="005B5701" w:rsidP="005B5701">
            <w:pPr>
              <w:jc w:val="right"/>
              <w:rPr>
                <w:rFonts w:eastAsia="Times New Roman"/>
              </w:rPr>
            </w:pPr>
            <w:r w:rsidRPr="005B5701">
              <w:rPr>
                <w:rFonts w:eastAsia="Times New Roman"/>
              </w:rPr>
              <w:t>Codice/lettera attività di interesse generale svolta:</w:t>
            </w:r>
          </w:p>
        </w:tc>
        <w:tc>
          <w:tcPr>
            <w:tcW w:w="5006" w:type="dxa"/>
            <w:vAlign w:val="center"/>
          </w:tcPr>
          <w:p w:rsidR="005B5701" w:rsidRPr="005B5701" w:rsidRDefault="005B5701" w:rsidP="005B5701">
            <w:pPr>
              <w:rPr>
                <w:rFonts w:eastAsia="Times New Roman"/>
              </w:rPr>
            </w:pPr>
            <w:r w:rsidRPr="005B5701">
              <w:rPr>
                <w:rFonts w:eastAsia="Times New Roman"/>
              </w:rPr>
              <w:t>Lettera h), i), t), u)</w:t>
            </w:r>
          </w:p>
        </w:tc>
      </w:tr>
      <w:tr w:rsidR="005B5701" w:rsidRPr="005B5701" w:rsidTr="00DB0DF0">
        <w:tc>
          <w:tcPr>
            <w:tcW w:w="5005" w:type="dxa"/>
            <w:vAlign w:val="center"/>
          </w:tcPr>
          <w:p w:rsidR="005B5701" w:rsidRPr="005B5701" w:rsidRDefault="005B5701" w:rsidP="005B5701">
            <w:pPr>
              <w:jc w:val="right"/>
              <w:rPr>
                <w:rFonts w:eastAsia="Times New Roman"/>
              </w:rPr>
            </w:pPr>
            <w:r w:rsidRPr="005B5701">
              <w:rPr>
                <w:rFonts w:eastAsia="Times New Roman"/>
              </w:rPr>
              <w:t>Attività diverse secondarie:</w:t>
            </w:r>
          </w:p>
        </w:tc>
        <w:tc>
          <w:tcPr>
            <w:tcW w:w="5006" w:type="dxa"/>
            <w:vAlign w:val="center"/>
          </w:tcPr>
          <w:p w:rsidR="005B5701" w:rsidRPr="005B5701" w:rsidRDefault="005B5701" w:rsidP="005B5701">
            <w:pPr>
              <w:rPr>
                <w:rFonts w:eastAsia="Times New Roman"/>
              </w:rPr>
            </w:pPr>
            <w:r w:rsidRPr="005B5701">
              <w:rPr>
                <w:rFonts w:eastAsia="Times New Roman"/>
              </w:rPr>
              <w:t>no</w:t>
            </w:r>
          </w:p>
        </w:tc>
      </w:tr>
    </w:tbl>
    <w:p w:rsidR="00674022" w:rsidRPr="005B5701" w:rsidRDefault="0057403D" w:rsidP="00073370">
      <w:pPr>
        <w:pStyle w:val="Titolo"/>
        <w:jc w:val="center"/>
        <w:rPr>
          <w:rFonts w:asciiTheme="minorHAnsi" w:hAnsiTheme="minorHAnsi" w:cstheme="minorHAnsi"/>
          <w:b/>
          <w:color w:val="000099"/>
          <w:sz w:val="52"/>
          <w:szCs w:val="48"/>
        </w:rPr>
      </w:pPr>
      <w:r w:rsidRPr="005B5701">
        <w:rPr>
          <w:rFonts w:asciiTheme="minorHAnsi" w:hAnsiTheme="minorHAnsi" w:cstheme="minorHAnsi"/>
          <w:b/>
          <w:color w:val="000099"/>
          <w:sz w:val="52"/>
          <w:szCs w:val="48"/>
        </w:rPr>
        <w:t xml:space="preserve">Bilancio sociale al </w:t>
      </w:r>
      <w:r w:rsidR="00B559F0" w:rsidRPr="005B5701">
        <w:rPr>
          <w:rFonts w:asciiTheme="minorHAnsi" w:hAnsiTheme="minorHAnsi" w:cstheme="minorHAnsi"/>
          <w:b/>
          <w:color w:val="000099"/>
          <w:sz w:val="52"/>
          <w:szCs w:val="48"/>
        </w:rPr>
        <w:t>31/12/2025</w:t>
      </w:r>
    </w:p>
    <w:p w:rsidR="00674022" w:rsidRPr="005B5701" w:rsidRDefault="0057403D" w:rsidP="00674022">
      <w:pPr>
        <w:pStyle w:val="Titolo1"/>
        <w:rPr>
          <w:color w:val="000099"/>
        </w:rPr>
      </w:pPr>
      <w:r w:rsidRPr="005B5701">
        <w:rPr>
          <w:color w:val="000099"/>
        </w:rPr>
        <w:t>Premessa</w:t>
      </w:r>
    </w:p>
    <w:p w:rsidR="00B559F0" w:rsidRPr="00B559F0" w:rsidRDefault="00B559F0" w:rsidP="008F5827">
      <w:r w:rsidRPr="00B559F0">
        <w:t xml:space="preserve">Il D.Lgs. 3 luglio 2017, n. 117 (codice del Terzo Settore) ha previsto all'art. 14, comma 1 che «Gli Enti del Terzo Settore con ricavi, rendite, proventi o entrate comunque denominate superiori ad 1 milione di euro devono depositare presso il RUNTS, e pubblicare nel proprio sito internet, il bilancio sociale redatto secondo Linee Guida adottate con Decreto del Ministro del Lavoro e delle Politiche Sociali, sentiti la cabina di regia di cui all'art. 97 e il Consiglio Nazionale del Terzo Settore, e tenendo conto, tra gli altri elementi, della natura dell'attività esercitata e delle dimensioni dell'ente, anche ai fini della valutazione dell'impatto sociale delle attività svolte». </w:t>
      </w:r>
    </w:p>
    <w:p w:rsidR="00B559F0" w:rsidRPr="00B559F0" w:rsidRDefault="00B559F0" w:rsidP="008F5827">
      <w:r w:rsidRPr="00B559F0">
        <w:t xml:space="preserve">Secondo la ratio delle norme contenute nel codice del Terzo Settore, il bilancio sociale, attraverso i connessi obblighi di redazione e successivo deposito presso il RUNTS o presso il Registro Imprese, nonché di diffusione attraverso la pubblicazione sul sito istituzionale da parte degli Enti del Terzo Settore, è lo strumento attraverso il quale gli enti stessi possono dare attuazione ai numerosi richiami alla trasparenza, all'informazione, alla rendicontazione nei confronti degli associati, dei lavoratori e dei terzi presenti nella Legge delega.  </w:t>
      </w:r>
    </w:p>
    <w:p w:rsidR="00DA691D" w:rsidRPr="00B559F0" w:rsidRDefault="00B559F0" w:rsidP="00311628">
      <w:r w:rsidRPr="00B559F0">
        <w:t xml:space="preserve">Il bilancio sociale deve essere visto non solo nella sua dimensione finale di atto, ma anche in una dimensione dinamica come processo di crescita della capacità dell'ente di rendicontare le proprie attività da un punto di vista sociale attraverso il coinvolgimento di diversi attori e interlocutori. </w:t>
      </w:r>
    </w:p>
    <w:p w:rsidR="00961287" w:rsidRPr="00961287" w:rsidRDefault="00961287" w:rsidP="00403E55">
      <w:r w:rsidRPr="00961287">
        <w:lastRenderedPageBreak/>
        <w:t>Il bilancio sociale può essere definito come uno «strumento di rendicontazione delle responsabilità, dei comportamenti e dei risultati sociali, ambientali ed economici delle attività svolte da un'organizzazione. Ciò al fine di offrire un'informativa strutturata e puntuale a tutti i soggetti interessati non ottenibile a mezzo della sola informazione economica contenuta nel bilancio di esercizio» (Agenzia per il Terzo Settore, Linee Guida per la redazione del bilancio sociale delle organizzazioni no profit, 2011).</w:t>
      </w:r>
    </w:p>
    <w:p w:rsidR="00961287" w:rsidRPr="00961287" w:rsidRDefault="00961287" w:rsidP="00403E55">
      <w:r w:rsidRPr="00961287">
        <w:t xml:space="preserve">La locuzione «rendicontazione delle responsabilità dei comportamenti e dei risultati sociali ambientali ed economici» può essere sintetizzata utilizzando il termine anglosassone di «Accountability». Tale termine comprende e presuppone oltre ai concetti di responsabilità quelli di «trasparenza» e «compliance», «la prima... intesa come accesso alle informazioni concernenti ogni aspetto dell'organizzazione, fra cui gli indicatori gestionali e la predisposizione del bilancio e di strumenti di comunicazione volti a rendere visibili decisioni, attività e risultati... la seconda si riferisce al rispetto delle norme... sia come garanzia della legittimità dell'azione sia come adeguamento dell'azione agli standard stabiliti da leggi, regolamenti, linee guida etiche o codici di condotta». </w:t>
      </w:r>
    </w:p>
    <w:p w:rsidR="00961287" w:rsidRPr="00961287" w:rsidRDefault="00961287" w:rsidP="00403E55">
      <w:r w:rsidRPr="00961287">
        <w:t xml:space="preserve">Da tale definizione di bilancio sociale derivano alcune implicazioni: </w:t>
      </w:r>
    </w:p>
    <w:p w:rsidR="00A02F21" w:rsidRDefault="00961287" w:rsidP="00ED70DB">
      <w:pPr>
        <w:numPr>
          <w:ilvl w:val="0"/>
          <w:numId w:val="13"/>
        </w:numPr>
        <w:jc w:val="left"/>
      </w:pPr>
      <w:r w:rsidRPr="00961287">
        <w:t xml:space="preserve">la necessità di fornire informazioni ulteriori rispetto a quelle meramente economiche e finanziarie; </w:t>
      </w:r>
    </w:p>
    <w:p w:rsidR="00A02F21" w:rsidRDefault="00961287" w:rsidP="00A02F21">
      <w:pPr>
        <w:numPr>
          <w:ilvl w:val="0"/>
          <w:numId w:val="13"/>
        </w:numPr>
      </w:pPr>
      <w:r w:rsidRPr="00961287">
        <w:t xml:space="preserve">la possibilità data ai soggetti interessati, attraverso il bilancio sociale, di conoscere il valore generato dall'organizzazione ed effettuare comparazioni nel tempo dei risultati conseguiti. </w:t>
      </w:r>
    </w:p>
    <w:p w:rsidR="00A02F21" w:rsidRDefault="00A02F21" w:rsidP="00A02F21">
      <w:pPr>
        <w:ind w:left="360"/>
      </w:pPr>
    </w:p>
    <w:p w:rsidR="00961287" w:rsidRPr="00961287" w:rsidRDefault="00961287" w:rsidP="00A02F21">
      <w:r w:rsidRPr="00961287">
        <w:t xml:space="preserve">Il bilancio sociale si propone dunque di: </w:t>
      </w:r>
    </w:p>
    <w:p w:rsidR="00961287" w:rsidRPr="00961287" w:rsidRDefault="00961287" w:rsidP="00A02F21">
      <w:pPr>
        <w:numPr>
          <w:ilvl w:val="0"/>
          <w:numId w:val="14"/>
        </w:numPr>
      </w:pPr>
      <w:r w:rsidRPr="00961287">
        <w:t xml:space="preserve">fornire a tutti gli stakeholders un quadro complessivo delle attività, della loro natura e dei risultati dell'ente;  </w:t>
      </w:r>
    </w:p>
    <w:p w:rsidR="00961287" w:rsidRPr="00961287" w:rsidRDefault="00961287" w:rsidP="00A02F21">
      <w:pPr>
        <w:numPr>
          <w:ilvl w:val="0"/>
          <w:numId w:val="14"/>
        </w:numPr>
      </w:pPr>
      <w:r w:rsidRPr="00961287">
        <w:t xml:space="preserve">aprire un processo interattivo di comunicazione sociale;  </w:t>
      </w:r>
    </w:p>
    <w:p w:rsidR="00961287" w:rsidRPr="00961287" w:rsidRDefault="00961287" w:rsidP="00A02F21">
      <w:pPr>
        <w:numPr>
          <w:ilvl w:val="0"/>
          <w:numId w:val="14"/>
        </w:numPr>
      </w:pPr>
      <w:r w:rsidRPr="00961287">
        <w:t xml:space="preserve">favorire processi partecipativi interni ed esterni all'organizzazione;  </w:t>
      </w:r>
    </w:p>
    <w:p w:rsidR="00961287" w:rsidRPr="00961287" w:rsidRDefault="00961287" w:rsidP="00A02F21">
      <w:pPr>
        <w:numPr>
          <w:ilvl w:val="0"/>
          <w:numId w:val="14"/>
        </w:numPr>
      </w:pPr>
      <w:r w:rsidRPr="00961287">
        <w:t xml:space="preserve">fornire informazioni utili sulla qualità delle attività dell'ente per ampliare e migliorare le conoscenze e le possibilità di valutazione e di scelta degli stakeholders; </w:t>
      </w:r>
    </w:p>
    <w:p w:rsidR="00961287" w:rsidRPr="00961287" w:rsidRDefault="00961287" w:rsidP="00A02F21">
      <w:pPr>
        <w:numPr>
          <w:ilvl w:val="0"/>
          <w:numId w:val="14"/>
        </w:numPr>
      </w:pPr>
      <w:r w:rsidRPr="00961287">
        <w:t xml:space="preserve">dare conto dell'identità e del sistema di valori di riferimento assunti dall'ente e della loro declinazione nelle scelte strategiche, nei comportamenti gestionali, nei loro risultati ed effetti;  </w:t>
      </w:r>
    </w:p>
    <w:p w:rsidR="00961287" w:rsidRPr="00961287" w:rsidRDefault="00961287" w:rsidP="00A02F21">
      <w:pPr>
        <w:numPr>
          <w:ilvl w:val="0"/>
          <w:numId w:val="14"/>
        </w:numPr>
      </w:pPr>
      <w:r w:rsidRPr="00961287">
        <w:t xml:space="preserve">fornire informazioni sul bilanciamento tra le aspettative degli stakeholders e indicare gli impegni assunti nei loro confronti;  </w:t>
      </w:r>
    </w:p>
    <w:p w:rsidR="00961287" w:rsidRPr="00961287" w:rsidRDefault="00961287" w:rsidP="00A02F21">
      <w:pPr>
        <w:numPr>
          <w:ilvl w:val="0"/>
          <w:numId w:val="14"/>
        </w:numPr>
      </w:pPr>
      <w:r w:rsidRPr="00961287">
        <w:t xml:space="preserve">rendere conto del grado di adempimento degli impegni in questione;  </w:t>
      </w:r>
    </w:p>
    <w:p w:rsidR="00961287" w:rsidRPr="00961287" w:rsidRDefault="00961287" w:rsidP="00A02F21">
      <w:pPr>
        <w:numPr>
          <w:ilvl w:val="0"/>
          <w:numId w:val="14"/>
        </w:numPr>
      </w:pPr>
      <w:r w:rsidRPr="00961287">
        <w:t xml:space="preserve">esporre gli obiettivi di miglioramento che l'ente si impegna a perseguire;  </w:t>
      </w:r>
    </w:p>
    <w:p w:rsidR="00961287" w:rsidRPr="00961287" w:rsidRDefault="00961287" w:rsidP="00A02F21">
      <w:pPr>
        <w:numPr>
          <w:ilvl w:val="0"/>
          <w:numId w:val="15"/>
        </w:numPr>
      </w:pPr>
      <w:r w:rsidRPr="00961287">
        <w:t xml:space="preserve">fornire indicazioni sulle interazioni tra l'ente e l'ambiente nel quale esso opera; </w:t>
      </w:r>
    </w:p>
    <w:p w:rsidR="00961287" w:rsidRDefault="00961287" w:rsidP="00A02F21">
      <w:pPr>
        <w:numPr>
          <w:ilvl w:val="0"/>
          <w:numId w:val="15"/>
        </w:numPr>
      </w:pPr>
      <w:r w:rsidRPr="00961287">
        <w:t>rappresentare il «valore aggiunto» creato nell'esercizio e la sua ripartizione.</w:t>
      </w:r>
      <w:r>
        <w:t xml:space="preserve"> </w:t>
      </w:r>
    </w:p>
    <w:p w:rsidR="00B559F0" w:rsidRPr="00B559F0" w:rsidRDefault="00B559F0" w:rsidP="003621C6">
      <w:r w:rsidRPr="00B559F0">
        <w:t>Il bilancio sociale è per sua natura «un documento pubblico, rivolto a tutti gli stakeholders interessati a reperire informazioni sull'Ente del Terzo Settore che lo ha redatto, attraverso il quale «i lettori devono essere messi nelle condizioni di valutare il grado di attenzione e considerazione che l'Organizzazione riserva nella propria gestione rispetto alle esigenze degli stakeholders».</w:t>
      </w:r>
    </w:p>
    <w:p w:rsidR="00B559F0" w:rsidRPr="00B559F0" w:rsidRDefault="00B559F0" w:rsidP="003621C6">
      <w:r w:rsidRPr="00B559F0">
        <w:t xml:space="preserve">Inoltre, considerato che si tratta di un documento da pubblicare assicurandone una idonea diffusione, lo stesso è destinato a raggiungere un numero elevato di terzi potenzialmente interessati. </w:t>
      </w:r>
    </w:p>
    <w:p w:rsidR="00B559F0" w:rsidRPr="00B559F0" w:rsidRDefault="00B559F0" w:rsidP="003621C6">
      <w:r w:rsidRPr="00B559F0">
        <w:t xml:space="preserve">L'art. 4, comma 1, lettera g) della Legge delega individua anche gli associati e i lavoratori tra i beneficiari degli obblighi di rendicontazione, di trasparenza e di informazione in capo all'Ente del Terzo Settore. </w:t>
      </w:r>
    </w:p>
    <w:p w:rsidR="00B559F0" w:rsidRPr="00B559F0" w:rsidRDefault="00B559F0" w:rsidP="003621C6">
      <w:r w:rsidRPr="00B559F0">
        <w:t xml:space="preserve">Infine, considerato che tale strumento può «favorire lo sviluppo, all'interno di processi di rendicontazione di valutazione e controllo dei risultati, che possono contribuire ad una gestione più efficace e coerente con i valori e la missione» , è evidente come tra i destinatari del bilancio sociale vi siano gli operatori, decisori e amministratori interni, ovvero coloro che all'interno dell'ente formulano e/o approvano le strategie e le pongono in essere, gli associati, che approvano il bilancio  annuale e sono chiamati a condividere le strategie di più lungo periodo, le istituzioni (autorità amministrative e decisori politici), il pubblico dei potenziali donatori. </w:t>
      </w:r>
    </w:p>
    <w:p w:rsidR="00B559F0" w:rsidRPr="00B559F0" w:rsidRDefault="00B559F0" w:rsidP="003621C6">
      <w:r w:rsidRPr="00B559F0">
        <w:t xml:space="preserve">Le informazioni sui risultati sociali, ambientali o economici finanziari rivestono, per i differenti interlocutori dell'ente, importanza diversa in relazione ai contributi apportati e alle attese che ne derivano.  </w:t>
      </w:r>
    </w:p>
    <w:p w:rsidR="00B559F0" w:rsidRPr="00B559F0" w:rsidRDefault="00B559F0" w:rsidP="003621C6">
      <w:r w:rsidRPr="00B559F0">
        <w:t xml:space="preserve">A mero titolo esemplificativo, la lettura del bilancio sociale consente: </w:t>
      </w:r>
    </w:p>
    <w:p w:rsidR="00B559F0" w:rsidRPr="00B559F0" w:rsidRDefault="00B559F0" w:rsidP="00A02F21">
      <w:pPr>
        <w:numPr>
          <w:ilvl w:val="0"/>
          <w:numId w:val="2"/>
        </w:numPr>
      </w:pPr>
      <w:r w:rsidRPr="00B559F0">
        <w:t xml:space="preserve">agli associati di comprendere se le strategie sono state formulate correttamente, di adattarle ad un cambio del contesto esterno, di verificare l'operato degli amministratori;  </w:t>
      </w:r>
    </w:p>
    <w:p w:rsidR="00B559F0" w:rsidRPr="00B559F0" w:rsidRDefault="00B559F0" w:rsidP="00A02F21">
      <w:pPr>
        <w:numPr>
          <w:ilvl w:val="0"/>
          <w:numId w:val="2"/>
        </w:numPr>
      </w:pPr>
      <w:r w:rsidRPr="00B559F0">
        <w:t xml:space="preserve">agli amministratori di correggere / riprogrammare le attività a breve/medio termine, di «rispondere» a chi ha loro conferito l'incarico evidenziando i risultati positivi conseguiti, di confrontare i risultati nel tempo (relativamente ai risultati precedenti) e nello spazio (con le attività di enti analoghi), di verificare l'efficacia delle azioni intraprese in relazione ai destinatari di riferimento;  </w:t>
      </w:r>
    </w:p>
    <w:p w:rsidR="00B559F0" w:rsidRPr="00B559F0" w:rsidRDefault="00B559F0" w:rsidP="00A02F21">
      <w:pPr>
        <w:numPr>
          <w:ilvl w:val="0"/>
          <w:numId w:val="2"/>
        </w:numPr>
      </w:pPr>
      <w:r w:rsidRPr="00B559F0">
        <w:t xml:space="preserve">alle istituzioni di acquisire informazioni sulla platea degli enti in vista di eventuali finanziamenti, convenzioni, collaborazioni e di verificarne le modalità di impiego dei fondi pubblici;  </w:t>
      </w:r>
    </w:p>
    <w:p w:rsidR="00DA691D" w:rsidRPr="00B559F0" w:rsidRDefault="00B559F0" w:rsidP="00A02F21">
      <w:pPr>
        <w:numPr>
          <w:ilvl w:val="0"/>
          <w:numId w:val="2"/>
        </w:numPr>
      </w:pPr>
      <w:r w:rsidRPr="00B559F0">
        <w:t xml:space="preserve">ai potenziali donatori di individuare in maniera attendibile e trasparente un ente meritevole cui devolvere risorse a determinati fini e verificare ex post in che modo le risorse donate sono state utilizzate e con quale grado di efficienza e coerenza nei confronti delle finalità istituzionali. </w:t>
      </w:r>
    </w:p>
    <w:p w:rsidR="00DA691D" w:rsidRPr="005B5701" w:rsidRDefault="0057403D" w:rsidP="00DA691D">
      <w:pPr>
        <w:pStyle w:val="Titolo1"/>
        <w:rPr>
          <w:color w:val="000099"/>
        </w:rPr>
      </w:pPr>
      <w:r w:rsidRPr="005B5701">
        <w:rPr>
          <w:color w:val="000099"/>
        </w:rPr>
        <w:t>Principi di redazione</w:t>
      </w:r>
    </w:p>
    <w:p w:rsidR="00B559F0" w:rsidRPr="00B559F0" w:rsidRDefault="00B559F0" w:rsidP="00017469">
      <w:r w:rsidRPr="00B559F0">
        <w:t xml:space="preserve">In ottemperanza alle Linee Guida per la redazione del bilancio sociale degli Enti del Terzo Settore contenute nel Decreto del Ministero del Lavoro e delle Politiche Sociali del 4 luglio 2019, nella redazione del presente documento sono stati osservati i principi che seguono. </w:t>
      </w:r>
    </w:p>
    <w:p w:rsidR="00B559F0" w:rsidRPr="00B559F0" w:rsidRDefault="00B559F0" w:rsidP="00017469">
      <w:r w:rsidRPr="00A02F21">
        <w:rPr>
          <w:b/>
        </w:rPr>
        <w:t xml:space="preserve">I. </w:t>
      </w:r>
      <w:r w:rsidR="00A02F21">
        <w:rPr>
          <w:b/>
        </w:rPr>
        <w:t>R</w:t>
      </w:r>
      <w:r w:rsidRPr="00A02F21">
        <w:rPr>
          <w:b/>
        </w:rPr>
        <w:t>ilevanza</w:t>
      </w:r>
      <w:r w:rsidRPr="00B559F0">
        <w:t>: nel bilancio sociale sono riportate solo le informazioni rilevanti per la comprensione della situazione e dell'andamento dell'ente e degli impatti economici, sociali e ambientali della sua attività, o che comunque potrebbero influenzare in modo sostanziale le valutazioni e le decisioni degli stakeholder; eventuali esclusioni o limitazioni delle attività rendicontate sono motivate.</w:t>
      </w:r>
    </w:p>
    <w:p w:rsidR="00B559F0" w:rsidRPr="00B559F0" w:rsidRDefault="00B559F0" w:rsidP="00017469">
      <w:r w:rsidRPr="00A02F21">
        <w:rPr>
          <w:b/>
        </w:rPr>
        <w:t xml:space="preserve">II. </w:t>
      </w:r>
      <w:r w:rsidR="00A02F21">
        <w:rPr>
          <w:b/>
        </w:rPr>
        <w:t>C</w:t>
      </w:r>
      <w:r w:rsidRPr="00A02F21">
        <w:rPr>
          <w:b/>
        </w:rPr>
        <w:t>ompletezza</w:t>
      </w:r>
      <w:r w:rsidRPr="00B559F0">
        <w:t>: sono identificati i principali stakeholder che influenzano e/o sono influenzati dall'organizzazione e sono inserite tutte le informazioni ritenute utili per consentire a tali stakeholder di valutare i risultati sociali, economici e ambientali dell'ente.</w:t>
      </w:r>
    </w:p>
    <w:p w:rsidR="00B559F0" w:rsidRPr="00B559F0" w:rsidRDefault="00B559F0" w:rsidP="00017469">
      <w:r w:rsidRPr="00A02F21">
        <w:rPr>
          <w:b/>
        </w:rPr>
        <w:t xml:space="preserve">III. </w:t>
      </w:r>
      <w:r w:rsidR="00A02F21">
        <w:rPr>
          <w:b/>
        </w:rPr>
        <w:t>T</w:t>
      </w:r>
      <w:r w:rsidRPr="00A02F21">
        <w:rPr>
          <w:b/>
        </w:rPr>
        <w:t xml:space="preserve">rasparenza: </w:t>
      </w:r>
      <w:r w:rsidRPr="00B559F0">
        <w:t xml:space="preserve">viene reso chiaro il procedimento logico seguito per rilevare e classificare le informazioni.  </w:t>
      </w:r>
    </w:p>
    <w:p w:rsidR="00B559F0" w:rsidRPr="00B559F0" w:rsidRDefault="00B559F0" w:rsidP="00017469">
      <w:r w:rsidRPr="00A02F21">
        <w:rPr>
          <w:b/>
        </w:rPr>
        <w:t xml:space="preserve">IV. </w:t>
      </w:r>
      <w:r w:rsidR="00A02F21" w:rsidRPr="00A02F21">
        <w:rPr>
          <w:b/>
        </w:rPr>
        <w:t>N</w:t>
      </w:r>
      <w:r w:rsidRPr="00A02F21">
        <w:rPr>
          <w:b/>
        </w:rPr>
        <w:t>eutralità</w:t>
      </w:r>
      <w:r w:rsidRPr="00B559F0">
        <w:t>: le informazioni sono rappresentate in maniera imparziale, indipendente da interessi di parte e completa; riguarda gli aspetti sia positivi che negativi della gestione senza distorsioni volte al soddisfacimento dell'interesse degli amministratori o di una categoria di portatori di interesse.</w:t>
      </w:r>
    </w:p>
    <w:p w:rsidR="00B559F0" w:rsidRPr="00B559F0" w:rsidRDefault="00B559F0" w:rsidP="00017469">
      <w:r w:rsidRPr="00A02F21">
        <w:rPr>
          <w:b/>
        </w:rPr>
        <w:t xml:space="preserve">V. </w:t>
      </w:r>
      <w:r w:rsidR="00A02F21" w:rsidRPr="00A02F21">
        <w:rPr>
          <w:b/>
        </w:rPr>
        <w:t>C</w:t>
      </w:r>
      <w:r w:rsidRPr="00A02F21">
        <w:rPr>
          <w:b/>
        </w:rPr>
        <w:t>ompetenza di periodo</w:t>
      </w:r>
      <w:r w:rsidRPr="00B559F0">
        <w:t>: le attività e i risultati sociali rendicontati sono quelle/i svoltesi / manifestatisi nell'anno di riferimento.</w:t>
      </w:r>
    </w:p>
    <w:p w:rsidR="00B559F0" w:rsidRPr="00B559F0" w:rsidRDefault="00B559F0" w:rsidP="00017469">
      <w:r w:rsidRPr="00A02F21">
        <w:rPr>
          <w:b/>
        </w:rPr>
        <w:t xml:space="preserve">VI. </w:t>
      </w:r>
      <w:r w:rsidR="00A02F21" w:rsidRPr="00A02F21">
        <w:rPr>
          <w:b/>
        </w:rPr>
        <w:t>C</w:t>
      </w:r>
      <w:r w:rsidRPr="00A02F21">
        <w:rPr>
          <w:b/>
        </w:rPr>
        <w:t>omparabilità</w:t>
      </w:r>
      <w:r w:rsidRPr="00B559F0">
        <w:t xml:space="preserve">: l'esposizione rende possibile il confronto sia temporale (cambiamenti nel tempo dello stesso ente) sia, per quanto possibile, spaziale (presenza di altre organizzazioni con caratteristiche simili o operanti nel medesimo/analogo settore e/o con medie di settore). </w:t>
      </w:r>
    </w:p>
    <w:p w:rsidR="00B559F0" w:rsidRPr="00B559F0" w:rsidRDefault="00B559F0" w:rsidP="00017469">
      <w:r w:rsidRPr="00A02F21">
        <w:rPr>
          <w:b/>
        </w:rPr>
        <w:t xml:space="preserve">VII. </w:t>
      </w:r>
      <w:r w:rsidR="00A02F21" w:rsidRPr="00A02F21">
        <w:rPr>
          <w:b/>
        </w:rPr>
        <w:t>C</w:t>
      </w:r>
      <w:r w:rsidRPr="00A02F21">
        <w:rPr>
          <w:b/>
        </w:rPr>
        <w:t>hiarezza</w:t>
      </w:r>
      <w:r w:rsidRPr="00B559F0">
        <w:t xml:space="preserve">: le informazioni sono esposte in maniera chiara e comprensibile per il linguaggio usato, accessibile anche a lettori non esperti o privi di particolare competenza tecnica. </w:t>
      </w:r>
    </w:p>
    <w:p w:rsidR="00B559F0" w:rsidRPr="00B559F0" w:rsidRDefault="00B559F0" w:rsidP="00017469">
      <w:r w:rsidRPr="00B559F0">
        <w:t xml:space="preserve">VIII. veridicità e verificabilità: i dati riportati fanno riferimento alle fonti informative utilizzate. </w:t>
      </w:r>
    </w:p>
    <w:p w:rsidR="00B559F0" w:rsidRPr="00B559F0" w:rsidRDefault="00B559F0" w:rsidP="00017469">
      <w:r w:rsidRPr="00A02F21">
        <w:rPr>
          <w:b/>
        </w:rPr>
        <w:t xml:space="preserve">IX. </w:t>
      </w:r>
      <w:r w:rsidR="00A02F21" w:rsidRPr="00A02F21">
        <w:rPr>
          <w:b/>
        </w:rPr>
        <w:t>A</w:t>
      </w:r>
      <w:r w:rsidRPr="00A02F21">
        <w:rPr>
          <w:b/>
        </w:rPr>
        <w:t>ttendibilità</w:t>
      </w:r>
      <w:r w:rsidRPr="00B559F0">
        <w:t xml:space="preserve">: i dati positivi riportati sono forniti in maniera oggettiva e non sovrastimata; analogamente i dati negativi e i rischi connessi non vengono sottostimati; gli effetti incerti non vengono inoltre prematuramente documentati come certi. </w:t>
      </w:r>
    </w:p>
    <w:p w:rsidR="00DA691D" w:rsidRPr="00B559F0" w:rsidRDefault="00B559F0" w:rsidP="00311628">
      <w:r w:rsidRPr="00A02F21">
        <w:rPr>
          <w:b/>
        </w:rPr>
        <w:t xml:space="preserve">X. </w:t>
      </w:r>
      <w:r w:rsidR="00A02F21" w:rsidRPr="00A02F21">
        <w:rPr>
          <w:b/>
        </w:rPr>
        <w:t>A</w:t>
      </w:r>
      <w:r w:rsidRPr="00A02F21">
        <w:rPr>
          <w:b/>
        </w:rPr>
        <w:t>utonomia delle terze parti</w:t>
      </w:r>
      <w:r w:rsidRPr="00B559F0">
        <w:t xml:space="preserve">: ove terze parti siano incaricate di trattare specifici aspetti del bilancio sociale ovvero di garantire la qualità del processo o formulare valutazioni o commenti, viene loro richiesta e garantita la più completa autonomia e indipendenza di giudizio. Valutazioni, giudizi e commenti di terze parti possono formare oggetto di apposito allegato. </w:t>
      </w:r>
    </w:p>
    <w:p w:rsidR="00DA691D" w:rsidRPr="005B5701" w:rsidRDefault="0057403D" w:rsidP="00DA691D">
      <w:pPr>
        <w:pStyle w:val="Titolo1"/>
        <w:rPr>
          <w:color w:val="000099"/>
        </w:rPr>
      </w:pPr>
      <w:r w:rsidRPr="005B5701">
        <w:rPr>
          <w:color w:val="000099"/>
        </w:rPr>
        <w:t>Metodologia adottata per la redazione del bilancio sociale</w:t>
      </w:r>
    </w:p>
    <w:p w:rsidR="0003589B" w:rsidRPr="0003589B" w:rsidRDefault="0003589B" w:rsidP="003A1C4E">
      <w:r w:rsidRPr="0003589B">
        <w:t xml:space="preserve">L'ente si è attenuto alle indicazioni delle Linee Guida per la redazione del bilancio sociale degli Enti del Terzo Settore di cui al Decreto del Ministro del Lavoro e delle Politiche Sociali del 4 luglio 2019. </w:t>
      </w:r>
    </w:p>
    <w:p w:rsidR="00DA691D" w:rsidRPr="00B559F0" w:rsidRDefault="00B559F0" w:rsidP="00311628">
      <w:r w:rsidRPr="00B559F0">
        <w:t xml:space="preserve">Il presente bilancio sociale è conforme agli standard di rendicontazione adottati. </w:t>
      </w:r>
    </w:p>
    <w:p w:rsidR="00DA691D" w:rsidRPr="0003589B" w:rsidRDefault="0003589B" w:rsidP="00311628">
      <w:r w:rsidRPr="0003589B">
        <w:t xml:space="preserve">Non si sono verificati cambiamenti significativi di perimetro o metodi di misurazione rispetto al precedente periodo di rendicontazione. </w:t>
      </w:r>
    </w:p>
    <w:p w:rsidR="00DA691D" w:rsidRPr="00B559F0" w:rsidRDefault="00B559F0" w:rsidP="00311628">
      <w:r w:rsidRPr="00B559F0">
        <w:t>Per una migliore comprensione del processo e della metodologia di rendicontazione, si forniscono le seguenti ulteriori informazioni</w:t>
      </w:r>
      <w:r w:rsidR="0003589B">
        <w:t>.</w:t>
      </w:r>
    </w:p>
    <w:p w:rsidR="00DA691D" w:rsidRPr="005B5701" w:rsidRDefault="0057403D" w:rsidP="00DA691D">
      <w:pPr>
        <w:pStyle w:val="Titolo1"/>
        <w:rPr>
          <w:color w:val="000099"/>
        </w:rPr>
      </w:pPr>
      <w:r w:rsidRPr="005B5701">
        <w:rPr>
          <w:color w:val="000099"/>
        </w:rPr>
        <w:t>Informazioni generali sull'ente</w:t>
      </w:r>
    </w:p>
    <w:p w:rsidR="0003589B" w:rsidRDefault="0003589B" w:rsidP="0003589B">
      <w:pPr>
        <w:spacing w:line="360" w:lineRule="auto"/>
        <w:rPr>
          <w:rFonts w:eastAsia="Times New Roman" w:cs="Calibri"/>
          <w:color w:val="auto"/>
          <w:szCs w:val="20"/>
        </w:rPr>
      </w:pPr>
      <w:r w:rsidRPr="0003589B">
        <w:rPr>
          <w:rFonts w:eastAsia="Times New Roman" w:cs="Calibri"/>
          <w:color w:val="auto"/>
          <w:szCs w:val="20"/>
        </w:rPr>
        <w:t>L’Associazione art4sport ONLUS è nata nel 2009 dalla storia di Bebe Vio e crede nello sport come terapia per il recupero fisico e psicologico dei bambini e dei ragazzi portatori di protesi di arto.</w:t>
      </w:r>
    </w:p>
    <w:p w:rsidR="00073370" w:rsidRPr="00073370" w:rsidRDefault="00073370" w:rsidP="00073370">
      <w:pPr>
        <w:spacing w:line="360" w:lineRule="auto"/>
        <w:rPr>
          <w:rFonts w:eastAsia="Times New Roman" w:cs="Calibri"/>
          <w:color w:val="auto"/>
          <w:szCs w:val="20"/>
        </w:rPr>
      </w:pPr>
      <w:r>
        <w:rPr>
          <w:rFonts w:eastAsia="Times New Roman" w:cs="Calibri"/>
          <w:color w:val="auto"/>
          <w:szCs w:val="20"/>
        </w:rPr>
        <w:t>Nel corso dell’anno 2025 l’associazione si è straformata in Fondazione Art4sport ETS in quanto la trasformazione stessa nasce dell</w:t>
      </w:r>
      <w:r w:rsidRPr="00073370">
        <w:rPr>
          <w:rFonts w:eastAsia="Times New Roman" w:cs="Calibri"/>
          <w:color w:val="auto"/>
          <w:szCs w:val="20"/>
        </w:rPr>
        <w:t>'opportunità di attribuire all'Ente una forma giuridica che</w:t>
      </w:r>
      <w:r>
        <w:rPr>
          <w:rFonts w:eastAsia="Times New Roman" w:cs="Calibri"/>
          <w:color w:val="auto"/>
          <w:szCs w:val="20"/>
        </w:rPr>
        <w:t>:</w:t>
      </w:r>
    </w:p>
    <w:p w:rsidR="00073370" w:rsidRPr="00073370" w:rsidRDefault="00073370" w:rsidP="00073370">
      <w:pPr>
        <w:numPr>
          <w:ilvl w:val="0"/>
          <w:numId w:val="22"/>
        </w:numPr>
        <w:spacing w:line="360" w:lineRule="auto"/>
        <w:rPr>
          <w:rFonts w:eastAsia="Times New Roman" w:cs="Calibri"/>
          <w:color w:val="auto"/>
          <w:szCs w:val="20"/>
        </w:rPr>
      </w:pPr>
      <w:r w:rsidRPr="00073370">
        <w:rPr>
          <w:rFonts w:eastAsia="Times New Roman" w:cs="Calibri"/>
          <w:color w:val="auto"/>
          <w:szCs w:val="20"/>
        </w:rPr>
        <w:t>in conformità alle norme del codice del terzo Settore, consente di preservare per il futuro quelle forme di garanzia e di salvaguardia quali principi fondanti dell'ente;</w:t>
      </w:r>
    </w:p>
    <w:p w:rsidR="00073370" w:rsidRPr="00073370" w:rsidRDefault="00073370" w:rsidP="00A02F21">
      <w:pPr>
        <w:numPr>
          <w:ilvl w:val="0"/>
          <w:numId w:val="22"/>
        </w:numPr>
        <w:spacing w:line="360" w:lineRule="auto"/>
        <w:rPr>
          <w:rFonts w:eastAsia="Times New Roman" w:cs="Calibri"/>
          <w:color w:val="auto"/>
          <w:szCs w:val="20"/>
        </w:rPr>
      </w:pPr>
      <w:r w:rsidRPr="00073370">
        <w:rPr>
          <w:rFonts w:eastAsia="Times New Roman" w:cs="Calibri"/>
          <w:color w:val="auto"/>
          <w:szCs w:val="20"/>
        </w:rPr>
        <w:t>consente di preservare la possibilità di partecipare alla costruzione delle</w:t>
      </w:r>
      <w:r w:rsidR="00A02F21">
        <w:rPr>
          <w:rFonts w:eastAsia="Times New Roman" w:cs="Calibri"/>
          <w:color w:val="auto"/>
          <w:szCs w:val="20"/>
        </w:rPr>
        <w:t xml:space="preserve"> </w:t>
      </w:r>
      <w:r w:rsidRPr="00073370">
        <w:rPr>
          <w:rFonts w:eastAsia="Times New Roman" w:cs="Calibri"/>
          <w:color w:val="auto"/>
          <w:szCs w:val="20"/>
        </w:rPr>
        <w:t xml:space="preserve">progettualità  delle iniziative da realizzare; </w:t>
      </w:r>
    </w:p>
    <w:p w:rsidR="00073370" w:rsidRPr="00073370" w:rsidRDefault="00073370" w:rsidP="00073370">
      <w:pPr>
        <w:numPr>
          <w:ilvl w:val="0"/>
          <w:numId w:val="22"/>
        </w:numPr>
        <w:spacing w:line="360" w:lineRule="auto"/>
        <w:rPr>
          <w:rFonts w:eastAsia="Times New Roman" w:cs="Calibri"/>
          <w:color w:val="auto"/>
          <w:szCs w:val="20"/>
        </w:rPr>
      </w:pPr>
      <w:r w:rsidRPr="00073370">
        <w:rPr>
          <w:rFonts w:eastAsia="Times New Roman" w:cs="Calibri"/>
          <w:color w:val="auto"/>
          <w:szCs w:val="20"/>
        </w:rPr>
        <w:t>per chi lo voglia di partecipare attivamente alla predisposizione e all’organizzazione delle attività;</w:t>
      </w:r>
    </w:p>
    <w:p w:rsidR="00073370" w:rsidRPr="00073370" w:rsidRDefault="00073370" w:rsidP="00073370">
      <w:pPr>
        <w:numPr>
          <w:ilvl w:val="0"/>
          <w:numId w:val="22"/>
        </w:numPr>
        <w:spacing w:line="360" w:lineRule="auto"/>
        <w:rPr>
          <w:rFonts w:eastAsia="Times New Roman" w:cs="Calibri"/>
          <w:color w:val="auto"/>
          <w:szCs w:val="20"/>
        </w:rPr>
      </w:pPr>
      <w:r w:rsidRPr="00073370">
        <w:rPr>
          <w:rFonts w:eastAsia="Times New Roman" w:cs="Calibri"/>
          <w:color w:val="auto"/>
          <w:szCs w:val="20"/>
        </w:rPr>
        <w:t>è in grado di evitare aggravi organizzativi;</w:t>
      </w:r>
    </w:p>
    <w:p w:rsidR="00073370" w:rsidRPr="00073370" w:rsidRDefault="00073370" w:rsidP="00073370">
      <w:pPr>
        <w:numPr>
          <w:ilvl w:val="0"/>
          <w:numId w:val="22"/>
        </w:numPr>
        <w:spacing w:line="360" w:lineRule="auto"/>
        <w:rPr>
          <w:rFonts w:eastAsia="Times New Roman" w:cs="Calibri"/>
          <w:color w:val="auto"/>
          <w:szCs w:val="20"/>
        </w:rPr>
      </w:pPr>
      <w:r w:rsidRPr="00073370">
        <w:rPr>
          <w:rFonts w:eastAsia="Times New Roman" w:cs="Calibri"/>
          <w:color w:val="auto"/>
          <w:szCs w:val="20"/>
        </w:rPr>
        <w:t>consente di rendere più efficace ed efficiente la sua governance;</w:t>
      </w:r>
    </w:p>
    <w:p w:rsidR="00073370" w:rsidRPr="00073370" w:rsidRDefault="00073370" w:rsidP="00A02F21">
      <w:pPr>
        <w:numPr>
          <w:ilvl w:val="0"/>
          <w:numId w:val="22"/>
        </w:numPr>
        <w:spacing w:line="360" w:lineRule="auto"/>
        <w:rPr>
          <w:rFonts w:eastAsia="Times New Roman" w:cs="Calibri"/>
          <w:color w:val="auto"/>
          <w:szCs w:val="20"/>
        </w:rPr>
      </w:pPr>
      <w:r w:rsidRPr="00073370">
        <w:rPr>
          <w:rFonts w:eastAsia="Times New Roman" w:cs="Calibri"/>
          <w:color w:val="auto"/>
          <w:szCs w:val="20"/>
        </w:rPr>
        <w:t>consente di conservare e rafforzare il vincolo di destinazione del patrimonio</w:t>
      </w:r>
      <w:r w:rsidR="00A02F21">
        <w:rPr>
          <w:rFonts w:eastAsia="Times New Roman" w:cs="Calibri"/>
          <w:color w:val="auto"/>
          <w:szCs w:val="20"/>
        </w:rPr>
        <w:t xml:space="preserve"> </w:t>
      </w:r>
      <w:r w:rsidRPr="00073370">
        <w:rPr>
          <w:rFonts w:eastAsia="Times New Roman" w:cs="Calibri"/>
          <w:color w:val="auto"/>
          <w:szCs w:val="20"/>
        </w:rPr>
        <w:t>complessivo, il quale deve inderogabilmente essere utilizzato per il raggiungimento</w:t>
      </w:r>
      <w:r w:rsidR="00A02F21">
        <w:rPr>
          <w:rFonts w:eastAsia="Times New Roman" w:cs="Calibri"/>
          <w:color w:val="auto"/>
          <w:szCs w:val="20"/>
        </w:rPr>
        <w:t xml:space="preserve"> </w:t>
      </w:r>
      <w:r w:rsidRPr="00073370">
        <w:rPr>
          <w:rFonts w:eastAsia="Times New Roman" w:cs="Calibri"/>
          <w:color w:val="auto"/>
          <w:szCs w:val="20"/>
        </w:rPr>
        <w:t>dello scopo istituzionale voluto dai fondatori</w:t>
      </w:r>
      <w:r w:rsidR="00A02F21">
        <w:rPr>
          <w:rFonts w:eastAsia="Times New Roman" w:cs="Calibri"/>
          <w:color w:val="auto"/>
          <w:szCs w:val="20"/>
        </w:rPr>
        <w:t>.</w:t>
      </w:r>
    </w:p>
    <w:p w:rsidR="0003589B" w:rsidRPr="0003589B" w:rsidRDefault="00F75E0F" w:rsidP="0003589B">
      <w:pPr>
        <w:shd w:val="clear" w:color="auto" w:fill="FFFFFF"/>
        <w:spacing w:before="100" w:beforeAutospacing="1" w:after="100" w:afterAutospacing="1" w:line="360" w:lineRule="auto"/>
        <w:rPr>
          <w:rFonts w:eastAsia="Times New Roman" w:cs="Calibri"/>
          <w:color w:val="auto"/>
          <w:szCs w:val="20"/>
        </w:rPr>
      </w:pPr>
      <w:r>
        <w:rPr>
          <w:rFonts w:eastAsia="Times New Roman" w:cs="Calibri"/>
          <w:color w:val="auto"/>
          <w:szCs w:val="20"/>
        </w:rPr>
        <w:t>La Fondazione</w:t>
      </w:r>
      <w:r w:rsidR="0003589B" w:rsidRPr="0003589B">
        <w:rPr>
          <w:rFonts w:eastAsia="Times New Roman" w:cs="Calibri"/>
          <w:color w:val="auto"/>
          <w:szCs w:val="20"/>
        </w:rPr>
        <w:t xml:space="preserve"> si propone di perseguire finalità di solidarietà sociale. </w:t>
      </w:r>
      <w:r w:rsidR="0003589B" w:rsidRPr="0003589B">
        <w:rPr>
          <w:rFonts w:eastAsia="Times New Roman" w:cs="Calibri"/>
          <w:color w:val="auto"/>
          <w:szCs w:val="20"/>
          <w:lang w:eastAsia="it-IT"/>
        </w:rPr>
        <w:t>In particolare, punta</w:t>
      </w:r>
      <w:r w:rsidR="0003589B" w:rsidRPr="0003589B">
        <w:rPr>
          <w:rFonts w:eastAsia="Times New Roman" w:cs="Calibri"/>
          <w:color w:val="auto"/>
          <w:szCs w:val="20"/>
        </w:rPr>
        <w:t xml:space="preserve"> a migliorare la qualità della vita di bambini e ragazzi portatori di protesi di arto e di conseguenza quella delle loro famiglie e promuove e favorisce</w:t>
      </w:r>
      <w:r w:rsidR="0003589B" w:rsidRPr="0003589B">
        <w:rPr>
          <w:rFonts w:eastAsia="Times New Roman" w:cs="Calibri"/>
          <w:color w:val="auto"/>
          <w:szCs w:val="20"/>
          <w:lang w:eastAsia="it-IT"/>
        </w:rPr>
        <w:t xml:space="preserve"> in Italia lo sport paralimpico.</w:t>
      </w:r>
    </w:p>
    <w:p w:rsidR="0003589B" w:rsidRPr="0003589B" w:rsidRDefault="0003589B" w:rsidP="0003589B">
      <w:pPr>
        <w:spacing w:line="360" w:lineRule="auto"/>
        <w:rPr>
          <w:rFonts w:eastAsia="Times New Roman" w:cs="Calibri"/>
          <w:color w:val="auto"/>
          <w:szCs w:val="20"/>
        </w:rPr>
      </w:pPr>
      <w:r w:rsidRPr="0003589B">
        <w:rPr>
          <w:rFonts w:eastAsia="Times New Roman" w:cs="Calibri"/>
          <w:color w:val="auto"/>
          <w:szCs w:val="20"/>
        </w:rPr>
        <w:t>Per il raggiungimento dei propri scopi l</w:t>
      </w:r>
      <w:r w:rsidR="00F75E0F">
        <w:rPr>
          <w:rFonts w:eastAsia="Times New Roman" w:cs="Calibri"/>
          <w:color w:val="auto"/>
          <w:szCs w:val="20"/>
        </w:rPr>
        <w:t>a Fondazione</w:t>
      </w:r>
      <w:r w:rsidRPr="0003589B">
        <w:rPr>
          <w:rFonts w:eastAsia="Times New Roman" w:cs="Calibri"/>
          <w:color w:val="auto"/>
          <w:szCs w:val="20"/>
        </w:rPr>
        <w:t xml:space="preserve"> si propone di:</w:t>
      </w:r>
    </w:p>
    <w:p w:rsidR="00A02F21" w:rsidRDefault="0003589B" w:rsidP="0003589B">
      <w:pPr>
        <w:numPr>
          <w:ilvl w:val="0"/>
          <w:numId w:val="24"/>
        </w:numPr>
        <w:spacing w:line="360" w:lineRule="auto"/>
        <w:rPr>
          <w:rFonts w:eastAsia="Times New Roman" w:cs="Calibri"/>
          <w:color w:val="auto"/>
          <w:szCs w:val="20"/>
        </w:rPr>
      </w:pPr>
      <w:r w:rsidRPr="0003589B">
        <w:rPr>
          <w:rFonts w:eastAsia="Times New Roman" w:cs="Calibri"/>
          <w:color w:val="auto"/>
          <w:szCs w:val="20"/>
        </w:rPr>
        <w:t>Utilizzare lo sport come terapia per il recupero fisico e psicologico dei bambini e ragazzi con disabilità;</w:t>
      </w:r>
    </w:p>
    <w:p w:rsidR="00A02F21" w:rsidRDefault="0003589B" w:rsidP="0003589B">
      <w:pPr>
        <w:numPr>
          <w:ilvl w:val="0"/>
          <w:numId w:val="24"/>
        </w:numPr>
        <w:spacing w:line="360" w:lineRule="auto"/>
        <w:rPr>
          <w:rFonts w:eastAsia="Times New Roman" w:cs="Calibri"/>
          <w:color w:val="auto"/>
          <w:szCs w:val="20"/>
        </w:rPr>
      </w:pPr>
      <w:r w:rsidRPr="00A02F21">
        <w:rPr>
          <w:rFonts w:eastAsia="Times New Roman" w:cs="Calibri"/>
          <w:color w:val="auto"/>
          <w:szCs w:val="20"/>
        </w:rPr>
        <w:t>Promuovere lo sport paralimpico, in particolare a favore dei minori con disabilità per il loro benessere fisico e per una migliore integrazione nella società;</w:t>
      </w:r>
    </w:p>
    <w:p w:rsidR="00A02F21" w:rsidRDefault="0003589B" w:rsidP="0003589B">
      <w:pPr>
        <w:numPr>
          <w:ilvl w:val="0"/>
          <w:numId w:val="24"/>
        </w:numPr>
        <w:spacing w:line="360" w:lineRule="auto"/>
        <w:rPr>
          <w:rFonts w:eastAsia="Times New Roman" w:cs="Calibri"/>
          <w:color w:val="auto"/>
          <w:szCs w:val="20"/>
        </w:rPr>
      </w:pPr>
      <w:r w:rsidRPr="00A02F21">
        <w:rPr>
          <w:rFonts w:eastAsia="Times New Roman" w:cs="Calibri"/>
          <w:color w:val="auto"/>
          <w:szCs w:val="20"/>
        </w:rPr>
        <w:t>Indirizzare i ragazzi nella scelta del percorso sportivo da seguire e dei centri sportivi in cui praticare l’attività fisica;</w:t>
      </w:r>
    </w:p>
    <w:p w:rsidR="00A02F21" w:rsidRDefault="0003589B" w:rsidP="0003589B">
      <w:pPr>
        <w:numPr>
          <w:ilvl w:val="0"/>
          <w:numId w:val="24"/>
        </w:numPr>
        <w:spacing w:line="360" w:lineRule="auto"/>
        <w:rPr>
          <w:rFonts w:eastAsia="Times New Roman" w:cs="Calibri"/>
          <w:color w:val="auto"/>
          <w:szCs w:val="20"/>
        </w:rPr>
      </w:pPr>
      <w:r w:rsidRPr="00A02F21">
        <w:rPr>
          <w:rFonts w:eastAsia="Times New Roman" w:cs="Calibri"/>
          <w:color w:val="auto"/>
          <w:szCs w:val="20"/>
        </w:rPr>
        <w:t>Creare una rete di contatti e rapporti tra tecnici, specialisti e professionisti del settore e tra associazioni sportive che si occupano di sport per bambini/ragazzi disabili;</w:t>
      </w:r>
    </w:p>
    <w:p w:rsidR="0003589B" w:rsidRPr="00A02F21" w:rsidRDefault="0003589B" w:rsidP="0003589B">
      <w:pPr>
        <w:numPr>
          <w:ilvl w:val="0"/>
          <w:numId w:val="24"/>
        </w:numPr>
        <w:spacing w:line="360" w:lineRule="auto"/>
        <w:rPr>
          <w:rFonts w:eastAsia="Times New Roman" w:cs="Calibri"/>
          <w:color w:val="auto"/>
          <w:szCs w:val="20"/>
        </w:rPr>
      </w:pPr>
      <w:r w:rsidRPr="00A02F21">
        <w:rPr>
          <w:rFonts w:eastAsia="Times New Roman" w:cs="Calibri"/>
          <w:color w:val="auto"/>
          <w:szCs w:val="20"/>
        </w:rPr>
        <w:t>Studiare, realizzare e finanziare le costosissime protesi e le varie attrezzature necessarie alla pratica dello sport paralimpico.</w:t>
      </w:r>
    </w:p>
    <w:p w:rsidR="00A02F21" w:rsidRDefault="00A02F21" w:rsidP="0003589B">
      <w:pPr>
        <w:spacing w:line="360" w:lineRule="auto"/>
        <w:rPr>
          <w:rFonts w:eastAsia="Times New Roman" w:cs="Calibri"/>
          <w:color w:val="auto"/>
          <w:szCs w:val="20"/>
        </w:rPr>
      </w:pPr>
    </w:p>
    <w:p w:rsidR="0003589B" w:rsidRPr="0003589B" w:rsidRDefault="0003589B" w:rsidP="0003589B">
      <w:pPr>
        <w:spacing w:line="360" w:lineRule="auto"/>
        <w:rPr>
          <w:rFonts w:eastAsia="Times New Roman" w:cs="Calibri"/>
          <w:color w:val="auto"/>
          <w:szCs w:val="20"/>
        </w:rPr>
      </w:pPr>
      <w:r w:rsidRPr="0003589B">
        <w:rPr>
          <w:rFonts w:eastAsia="Times New Roman" w:cs="Calibri"/>
          <w:color w:val="auto"/>
          <w:szCs w:val="20"/>
        </w:rPr>
        <w:t>L</w:t>
      </w:r>
      <w:r w:rsidR="00F75E0F">
        <w:rPr>
          <w:rFonts w:eastAsia="Times New Roman" w:cs="Calibri"/>
          <w:color w:val="auto"/>
          <w:szCs w:val="20"/>
        </w:rPr>
        <w:t>a Fondazione</w:t>
      </w:r>
      <w:r w:rsidRPr="0003589B">
        <w:rPr>
          <w:rFonts w:eastAsia="Times New Roman" w:cs="Calibri"/>
          <w:color w:val="auto"/>
          <w:szCs w:val="20"/>
        </w:rPr>
        <w:t xml:space="preserve"> non può svolgere attività diverse da quelle istituzionali ad eccezione di quelle a esse direttamente connesse o di quelle accessorie per natura a quelle istituzionali in quanto integrative delle stesse, quali:</w:t>
      </w:r>
    </w:p>
    <w:p w:rsidR="00A02F21" w:rsidRDefault="0003589B" w:rsidP="00A02F21">
      <w:pPr>
        <w:numPr>
          <w:ilvl w:val="0"/>
          <w:numId w:val="25"/>
        </w:numPr>
        <w:spacing w:line="360" w:lineRule="auto"/>
        <w:contextualSpacing/>
        <w:rPr>
          <w:rFonts w:eastAsia="Times New Roman" w:cs="Calibri"/>
          <w:color w:val="auto"/>
          <w:szCs w:val="20"/>
        </w:rPr>
      </w:pPr>
      <w:r w:rsidRPr="0003589B">
        <w:rPr>
          <w:rFonts w:eastAsia="Times New Roman" w:cs="Calibri"/>
          <w:color w:val="auto"/>
          <w:szCs w:val="20"/>
        </w:rPr>
        <w:t>la raccolta fondi anche tramite l’offerta di articoli promozionali nell’ambito dell’attività dell</w:t>
      </w:r>
      <w:r w:rsidR="001074A2">
        <w:rPr>
          <w:rFonts w:eastAsia="Times New Roman" w:cs="Calibri"/>
          <w:color w:val="auto"/>
          <w:szCs w:val="20"/>
        </w:rPr>
        <w:t>a Fondazione</w:t>
      </w:r>
      <w:r w:rsidRPr="0003589B">
        <w:rPr>
          <w:rFonts w:eastAsia="Times New Roman" w:cs="Calibri"/>
          <w:color w:val="auto"/>
          <w:szCs w:val="20"/>
        </w:rPr>
        <w:t xml:space="preserve"> nonché degli eventi da essa organizzati o a cui essa partecipi;</w:t>
      </w:r>
    </w:p>
    <w:p w:rsidR="00A02F21" w:rsidRDefault="0003589B" w:rsidP="00A02F21">
      <w:pPr>
        <w:numPr>
          <w:ilvl w:val="0"/>
          <w:numId w:val="25"/>
        </w:numPr>
        <w:spacing w:line="360" w:lineRule="auto"/>
        <w:contextualSpacing/>
        <w:rPr>
          <w:rFonts w:eastAsia="Times New Roman" w:cs="Calibri"/>
          <w:color w:val="auto"/>
          <w:szCs w:val="20"/>
        </w:rPr>
      </w:pPr>
      <w:r w:rsidRPr="00A02F21">
        <w:rPr>
          <w:rFonts w:eastAsia="Times New Roman" w:cs="Calibri"/>
          <w:color w:val="auto"/>
          <w:szCs w:val="20"/>
        </w:rPr>
        <w:t>la raccolta fondi anche tramite l’offerta di articoli promozionali utilizzando il canale internet;</w:t>
      </w:r>
    </w:p>
    <w:p w:rsidR="00A02F21" w:rsidRDefault="0003589B" w:rsidP="00A02F21">
      <w:pPr>
        <w:numPr>
          <w:ilvl w:val="0"/>
          <w:numId w:val="25"/>
        </w:numPr>
        <w:spacing w:line="360" w:lineRule="auto"/>
        <w:contextualSpacing/>
        <w:rPr>
          <w:rFonts w:eastAsia="Times New Roman" w:cs="Calibri"/>
          <w:color w:val="auto"/>
          <w:szCs w:val="20"/>
        </w:rPr>
      </w:pPr>
      <w:r w:rsidRPr="00A02F21">
        <w:rPr>
          <w:rFonts w:eastAsia="Times New Roman" w:cs="Calibri"/>
          <w:color w:val="auto"/>
          <w:szCs w:val="20"/>
        </w:rPr>
        <w:t>eventuali donazioni;</w:t>
      </w:r>
    </w:p>
    <w:p w:rsidR="00DA691D" w:rsidRPr="00A02F21" w:rsidRDefault="0003589B" w:rsidP="00A02F21">
      <w:pPr>
        <w:numPr>
          <w:ilvl w:val="0"/>
          <w:numId w:val="25"/>
        </w:numPr>
        <w:spacing w:line="360" w:lineRule="auto"/>
        <w:contextualSpacing/>
        <w:rPr>
          <w:rFonts w:eastAsia="Times New Roman" w:cs="Calibri"/>
          <w:color w:val="auto"/>
          <w:szCs w:val="20"/>
        </w:rPr>
      </w:pPr>
      <w:r w:rsidRPr="00A02F21">
        <w:rPr>
          <w:rFonts w:eastAsia="Times New Roman" w:cs="Calibri"/>
          <w:color w:val="auto"/>
          <w:szCs w:val="20"/>
        </w:rPr>
        <w:t xml:space="preserve">qualsiasi attività </w:t>
      </w:r>
      <w:r w:rsidR="00F75E0F" w:rsidRPr="00A02F21">
        <w:rPr>
          <w:rFonts w:eastAsia="Times New Roman" w:cs="Calibri"/>
          <w:color w:val="auto"/>
          <w:szCs w:val="20"/>
        </w:rPr>
        <w:t>la Fondazione</w:t>
      </w:r>
      <w:r w:rsidRPr="00A02F21">
        <w:rPr>
          <w:rFonts w:eastAsia="Times New Roman" w:cs="Calibri"/>
          <w:color w:val="auto"/>
          <w:szCs w:val="20"/>
        </w:rPr>
        <w:t xml:space="preserve"> ritenga opportuna per il raggiungimento dei propri fini.</w:t>
      </w:r>
    </w:p>
    <w:p w:rsidR="00B559F0" w:rsidRPr="00B559F0" w:rsidRDefault="00B559F0">
      <w:r w:rsidRPr="00B559F0">
        <w:t xml:space="preserve">Si forniscono di seguito le informazioni generali sull'ente: </w:t>
      </w:r>
    </w:p>
    <w:p w:rsidR="00B559F0" w:rsidRPr="00B559F0" w:rsidRDefault="00B559F0" w:rsidP="00523F67">
      <w:pPr>
        <w:numPr>
          <w:ilvl w:val="0"/>
          <w:numId w:val="3"/>
        </w:numPr>
        <w:jc w:val="left"/>
      </w:pPr>
      <w:r w:rsidRPr="00B559F0">
        <w:t xml:space="preserve">Nome dell’ente: </w:t>
      </w:r>
      <w:r>
        <w:t>FONDAZIONE ART4SPORT ETS</w:t>
      </w:r>
      <w:r w:rsidRPr="00B559F0">
        <w:t xml:space="preserve"> </w:t>
      </w:r>
    </w:p>
    <w:p w:rsidR="00B559F0" w:rsidRPr="00B559F0" w:rsidRDefault="00B559F0" w:rsidP="00523F67">
      <w:pPr>
        <w:numPr>
          <w:ilvl w:val="0"/>
          <w:numId w:val="3"/>
        </w:numPr>
        <w:jc w:val="left"/>
      </w:pPr>
      <w:r w:rsidRPr="00B559F0">
        <w:t xml:space="preserve">Codice fiscale: </w:t>
      </w:r>
      <w:r>
        <w:t>94127050261</w:t>
      </w:r>
      <w:r w:rsidRPr="00B559F0">
        <w:t xml:space="preserve"> </w:t>
      </w:r>
    </w:p>
    <w:p w:rsidR="00B559F0" w:rsidRPr="00B559F0" w:rsidRDefault="00B559F0" w:rsidP="00523F67">
      <w:pPr>
        <w:numPr>
          <w:ilvl w:val="0"/>
          <w:numId w:val="3"/>
        </w:numPr>
        <w:jc w:val="left"/>
      </w:pPr>
      <w:r w:rsidRPr="00B559F0">
        <w:t xml:space="preserve">Forma giuridica: </w:t>
      </w:r>
      <w:r>
        <w:t>FONDAZIONE</w:t>
      </w:r>
      <w:r w:rsidRPr="00B559F0">
        <w:t xml:space="preserve"> </w:t>
      </w:r>
    </w:p>
    <w:p w:rsidR="00B559F0" w:rsidRPr="00B559F0" w:rsidRDefault="00B559F0" w:rsidP="00523F67">
      <w:pPr>
        <w:numPr>
          <w:ilvl w:val="0"/>
          <w:numId w:val="3"/>
        </w:numPr>
        <w:jc w:val="left"/>
      </w:pPr>
      <w:r w:rsidRPr="00B559F0">
        <w:t xml:space="preserve">Qualificazione ai sensi del codice del Terzo Settore: </w:t>
      </w:r>
      <w:r>
        <w:t>g) Altri enti del terzo settore</w:t>
      </w:r>
      <w:r w:rsidRPr="00B559F0">
        <w:t xml:space="preserve"> </w:t>
      </w:r>
    </w:p>
    <w:p w:rsidR="00B559F0" w:rsidRPr="00B559F0" w:rsidRDefault="00B559F0" w:rsidP="00523F67">
      <w:pPr>
        <w:numPr>
          <w:ilvl w:val="0"/>
          <w:numId w:val="3"/>
        </w:numPr>
        <w:jc w:val="left"/>
      </w:pPr>
      <w:r w:rsidRPr="00B559F0">
        <w:t xml:space="preserve">Indirizzo sede legale: </w:t>
      </w:r>
      <w:r>
        <w:t>via G. Matteotti 8/C</w:t>
      </w:r>
      <w:r w:rsidRPr="00B559F0">
        <w:t xml:space="preserve"> </w:t>
      </w:r>
    </w:p>
    <w:p w:rsidR="00DA691D" w:rsidRPr="005B5701" w:rsidRDefault="0057403D" w:rsidP="00DA691D">
      <w:pPr>
        <w:pStyle w:val="Titolo1"/>
        <w:rPr>
          <w:color w:val="000099"/>
        </w:rPr>
      </w:pPr>
      <w:r w:rsidRPr="005B5701">
        <w:rPr>
          <w:color w:val="000099"/>
        </w:rPr>
        <w:t>Struttura, governo e amministrazione</w:t>
      </w:r>
    </w:p>
    <w:p w:rsidR="00DA691D" w:rsidRDefault="00F75E0F" w:rsidP="00311628">
      <w:r>
        <w:t xml:space="preserve">Partecipanti </w:t>
      </w:r>
      <w:r w:rsidR="00152C3B" w:rsidRPr="00152C3B">
        <w:t>Fondato</w:t>
      </w:r>
      <w:r>
        <w:t>ri: Grandis Angela Teresa, Vio Ruggero, Ghibaudo Boeri Maria Adelaide, Scatttolin Daniela</w:t>
      </w:r>
      <w:r w:rsidR="00A02F21">
        <w:t>.</w:t>
      </w:r>
    </w:p>
    <w:p w:rsidR="00A02F21" w:rsidRPr="00152C3B" w:rsidRDefault="00A02F21" w:rsidP="00311628"/>
    <w:p w:rsidR="00DA691D" w:rsidRDefault="00B559F0" w:rsidP="00311628">
      <w:r w:rsidRPr="00B559F0">
        <w:t>Sono organi dell'ente:</w:t>
      </w:r>
    </w:p>
    <w:p w:rsidR="00073370" w:rsidRPr="00073370" w:rsidRDefault="00A02F21" w:rsidP="00311628">
      <w:pPr>
        <w:rPr>
          <w:b/>
        </w:rPr>
      </w:pPr>
      <w:r>
        <w:rPr>
          <w:b/>
        </w:rPr>
        <w:t>Consiglio di Amministrazione</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3317"/>
        <w:gridCol w:w="3318"/>
        <w:gridCol w:w="3316"/>
      </w:tblGrid>
      <w:tr w:rsidR="00073370" w:rsidRPr="00073370" w:rsidTr="00073370">
        <w:trPr>
          <w:tblHeader/>
        </w:trPr>
        <w:tc>
          <w:tcPr>
            <w:tcW w:w="1667" w:type="pct"/>
            <w:tcBorders>
              <w:top w:val="single" w:sz="12" w:space="0" w:color="000000"/>
              <w:bottom w:val="single" w:sz="12" w:space="0" w:color="000000"/>
            </w:tcBorders>
            <w:shd w:val="clear" w:color="auto" w:fill="C6D9F1"/>
            <w:vAlign w:val="center"/>
          </w:tcPr>
          <w:p w:rsidR="00073370" w:rsidRPr="00073370" w:rsidRDefault="00073370" w:rsidP="00073370">
            <w:pPr>
              <w:pStyle w:val="Tabella"/>
              <w:jc w:val="center"/>
              <w:rPr>
                <w:b/>
              </w:rPr>
            </w:pPr>
            <w:r w:rsidRPr="00073370">
              <w:rPr>
                <w:b/>
              </w:rPr>
              <w:t>Cognome nome</w:t>
            </w:r>
          </w:p>
        </w:tc>
        <w:tc>
          <w:tcPr>
            <w:tcW w:w="1667" w:type="pct"/>
            <w:tcBorders>
              <w:top w:val="single" w:sz="12" w:space="0" w:color="000000"/>
              <w:bottom w:val="single" w:sz="12" w:space="0" w:color="000000"/>
            </w:tcBorders>
            <w:shd w:val="clear" w:color="auto" w:fill="C6D9F1"/>
            <w:vAlign w:val="center"/>
          </w:tcPr>
          <w:p w:rsidR="00073370" w:rsidRPr="00073370" w:rsidRDefault="00073370" w:rsidP="00073370">
            <w:pPr>
              <w:pStyle w:val="Tabella"/>
              <w:jc w:val="center"/>
              <w:rPr>
                <w:b/>
              </w:rPr>
            </w:pPr>
            <w:r w:rsidRPr="00073370">
              <w:rPr>
                <w:b/>
              </w:rPr>
              <w:t>Data di prima nomina</w:t>
            </w:r>
          </w:p>
        </w:tc>
        <w:tc>
          <w:tcPr>
            <w:tcW w:w="1667" w:type="pct"/>
            <w:tcBorders>
              <w:top w:val="single" w:sz="12" w:space="0" w:color="000000"/>
              <w:bottom w:val="single" w:sz="12" w:space="0" w:color="000000"/>
            </w:tcBorders>
            <w:shd w:val="clear" w:color="auto" w:fill="C6D9F1"/>
            <w:vAlign w:val="center"/>
          </w:tcPr>
          <w:p w:rsidR="00073370" w:rsidRPr="00073370" w:rsidRDefault="00073370" w:rsidP="00073370">
            <w:pPr>
              <w:pStyle w:val="Tabella"/>
              <w:jc w:val="center"/>
              <w:rPr>
                <w:b/>
              </w:rPr>
            </w:pPr>
            <w:r w:rsidRPr="00073370">
              <w:rPr>
                <w:b/>
              </w:rPr>
              <w:t>Durata in carica</w:t>
            </w:r>
          </w:p>
        </w:tc>
      </w:tr>
      <w:tr w:rsidR="00073370" w:rsidRPr="00073370" w:rsidTr="00073370">
        <w:tc>
          <w:tcPr>
            <w:tcW w:w="1667" w:type="pct"/>
            <w:tcBorders>
              <w:top w:val="single" w:sz="12" w:space="0" w:color="000000"/>
              <w:bottom w:val="single" w:sz="6" w:space="0" w:color="000000"/>
            </w:tcBorders>
            <w:shd w:val="clear" w:color="auto" w:fill="FFFFFF"/>
            <w:vAlign w:val="center"/>
          </w:tcPr>
          <w:p w:rsidR="00073370" w:rsidRPr="00073370" w:rsidRDefault="00073370" w:rsidP="00073370">
            <w:pPr>
              <w:pStyle w:val="Tabella"/>
              <w:rPr>
                <w:color w:val="auto"/>
              </w:rPr>
            </w:pPr>
            <w:r w:rsidRPr="00073370">
              <w:rPr>
                <w:color w:val="auto"/>
              </w:rPr>
              <w:t>Grandis Vio Teresa</w:t>
            </w:r>
          </w:p>
        </w:tc>
        <w:tc>
          <w:tcPr>
            <w:tcW w:w="1667" w:type="pct"/>
            <w:tcBorders>
              <w:top w:val="single" w:sz="12" w:space="0" w:color="000000"/>
              <w:bottom w:val="single" w:sz="6" w:space="0" w:color="000000"/>
            </w:tcBorders>
            <w:shd w:val="clear" w:color="auto" w:fill="FFFFFF"/>
            <w:vAlign w:val="center"/>
          </w:tcPr>
          <w:p w:rsidR="00073370" w:rsidRPr="00073370" w:rsidRDefault="00073370" w:rsidP="00073370">
            <w:pPr>
              <w:pStyle w:val="Tabella"/>
              <w:jc w:val="center"/>
              <w:rPr>
                <w:color w:val="auto"/>
              </w:rPr>
            </w:pPr>
            <w:r w:rsidRPr="00073370">
              <w:rPr>
                <w:color w:val="auto"/>
              </w:rPr>
              <w:t>21/11/2025</w:t>
            </w:r>
          </w:p>
        </w:tc>
        <w:tc>
          <w:tcPr>
            <w:tcW w:w="1667" w:type="pct"/>
            <w:tcBorders>
              <w:top w:val="single" w:sz="12" w:space="0" w:color="000000"/>
              <w:bottom w:val="single" w:sz="6" w:space="0" w:color="000000"/>
            </w:tcBorders>
            <w:shd w:val="clear" w:color="auto" w:fill="FFFFFF"/>
            <w:vAlign w:val="center"/>
          </w:tcPr>
          <w:p w:rsidR="00073370" w:rsidRPr="00073370" w:rsidRDefault="00073370" w:rsidP="00073370">
            <w:pPr>
              <w:pStyle w:val="Tabella"/>
              <w:jc w:val="right"/>
              <w:rPr>
                <w:color w:val="auto"/>
              </w:rPr>
            </w:pPr>
            <w:r w:rsidRPr="00073370">
              <w:rPr>
                <w:color w:val="auto"/>
              </w:rPr>
              <w:t>Tempo indete</w:t>
            </w:r>
            <w:r>
              <w:rPr>
                <w:color w:val="auto"/>
              </w:rPr>
              <w:t>r</w:t>
            </w:r>
            <w:r w:rsidRPr="00073370">
              <w:rPr>
                <w:color w:val="auto"/>
              </w:rPr>
              <w:t>minato</w:t>
            </w:r>
          </w:p>
        </w:tc>
      </w:tr>
      <w:tr w:rsidR="00073370" w:rsidRPr="00073370" w:rsidTr="00073370">
        <w:tc>
          <w:tcPr>
            <w:tcW w:w="1667" w:type="pct"/>
            <w:tcBorders>
              <w:top w:val="single" w:sz="6" w:space="0" w:color="000000"/>
              <w:bottom w:val="single" w:sz="12" w:space="0" w:color="000000"/>
            </w:tcBorders>
            <w:shd w:val="clear" w:color="auto" w:fill="FFFFFF"/>
            <w:vAlign w:val="center"/>
          </w:tcPr>
          <w:p w:rsidR="00073370" w:rsidRPr="00073370" w:rsidRDefault="00073370" w:rsidP="00073370">
            <w:pPr>
              <w:pStyle w:val="Tabella"/>
              <w:rPr>
                <w:color w:val="auto"/>
              </w:rPr>
            </w:pPr>
            <w:r w:rsidRPr="00073370">
              <w:rPr>
                <w:color w:val="auto"/>
              </w:rPr>
              <w:t>Vio Ruggero</w:t>
            </w:r>
          </w:p>
        </w:tc>
        <w:tc>
          <w:tcPr>
            <w:tcW w:w="1667" w:type="pct"/>
            <w:tcBorders>
              <w:top w:val="single" w:sz="6" w:space="0" w:color="000000"/>
              <w:bottom w:val="single" w:sz="12" w:space="0" w:color="000000"/>
            </w:tcBorders>
            <w:shd w:val="clear" w:color="auto" w:fill="FFFFFF"/>
            <w:vAlign w:val="center"/>
          </w:tcPr>
          <w:p w:rsidR="00073370" w:rsidRPr="00073370" w:rsidRDefault="00073370" w:rsidP="00073370">
            <w:pPr>
              <w:pStyle w:val="Tabella"/>
              <w:jc w:val="center"/>
              <w:rPr>
                <w:color w:val="auto"/>
              </w:rPr>
            </w:pPr>
            <w:r w:rsidRPr="00073370">
              <w:rPr>
                <w:color w:val="auto"/>
              </w:rPr>
              <w:t>21/11/2025</w:t>
            </w:r>
          </w:p>
        </w:tc>
        <w:tc>
          <w:tcPr>
            <w:tcW w:w="1667" w:type="pct"/>
            <w:tcBorders>
              <w:top w:val="single" w:sz="6" w:space="0" w:color="000000"/>
              <w:bottom w:val="single" w:sz="12" w:space="0" w:color="000000"/>
            </w:tcBorders>
            <w:shd w:val="clear" w:color="auto" w:fill="FFFFFF"/>
            <w:vAlign w:val="center"/>
          </w:tcPr>
          <w:p w:rsidR="00073370" w:rsidRPr="00073370" w:rsidRDefault="00073370" w:rsidP="00073370">
            <w:pPr>
              <w:pStyle w:val="Tabella"/>
              <w:jc w:val="right"/>
              <w:rPr>
                <w:color w:val="auto"/>
              </w:rPr>
            </w:pPr>
            <w:r w:rsidRPr="00073370">
              <w:rPr>
                <w:color w:val="auto"/>
              </w:rPr>
              <w:t>Tempo indete</w:t>
            </w:r>
            <w:r>
              <w:rPr>
                <w:color w:val="auto"/>
              </w:rPr>
              <w:t>r</w:t>
            </w:r>
            <w:r w:rsidRPr="00073370">
              <w:rPr>
                <w:color w:val="auto"/>
              </w:rPr>
              <w:t>minato</w:t>
            </w:r>
          </w:p>
        </w:tc>
      </w:tr>
    </w:tbl>
    <w:p w:rsidR="00073370" w:rsidRPr="00073370" w:rsidRDefault="00073370" w:rsidP="00073370">
      <w:r w:rsidRPr="00073370">
        <w:t xml:space="preserve">Il consiglio di Amministrazione </w:t>
      </w:r>
      <w:r w:rsidR="00A02F21">
        <w:t>è</w:t>
      </w:r>
      <w:r w:rsidRPr="00073370">
        <w:t xml:space="preserve"> investito dei più ampi poteri di ordinaria e straordinaria amministrazione della Fondazione. </w:t>
      </w:r>
    </w:p>
    <w:p w:rsidR="00A02F21" w:rsidRDefault="00073370" w:rsidP="00073370">
      <w:r w:rsidRPr="00073370">
        <w:t xml:space="preserve">In particolare al Consiglio di Amministrazione spetta: </w:t>
      </w:r>
    </w:p>
    <w:p w:rsidR="00A02F21" w:rsidRDefault="00073370" w:rsidP="00073370">
      <w:pPr>
        <w:numPr>
          <w:ilvl w:val="0"/>
          <w:numId w:val="26"/>
        </w:numPr>
      </w:pPr>
      <w:r w:rsidRPr="00073370">
        <w:t xml:space="preserve">promuovere l'attività della Fondazione; </w:t>
      </w:r>
    </w:p>
    <w:p w:rsidR="00A02F21" w:rsidRDefault="00073370" w:rsidP="00073370">
      <w:pPr>
        <w:numPr>
          <w:ilvl w:val="0"/>
          <w:numId w:val="26"/>
        </w:numPr>
      </w:pPr>
      <w:r w:rsidRPr="00073370">
        <w:t xml:space="preserve">approvare il bilancio d'esercizio e se previsto, il bilancio sociale; </w:t>
      </w:r>
    </w:p>
    <w:p w:rsidR="00A02F21" w:rsidRDefault="00073370" w:rsidP="00073370">
      <w:pPr>
        <w:numPr>
          <w:ilvl w:val="0"/>
          <w:numId w:val="26"/>
        </w:numPr>
      </w:pPr>
      <w:r w:rsidRPr="00073370">
        <w:t>deliberare le modifiche dello statuto ed eventuali regolamenti interni;</w:t>
      </w:r>
    </w:p>
    <w:p w:rsidR="00A02F21" w:rsidRDefault="00073370" w:rsidP="00073370">
      <w:pPr>
        <w:numPr>
          <w:ilvl w:val="0"/>
          <w:numId w:val="26"/>
        </w:numPr>
      </w:pPr>
      <w:r w:rsidRPr="00073370">
        <w:t xml:space="preserve">nominare l'Organo di Controllo; </w:t>
      </w:r>
    </w:p>
    <w:p w:rsidR="00073370" w:rsidRPr="00073370" w:rsidRDefault="00073370" w:rsidP="00073370">
      <w:pPr>
        <w:numPr>
          <w:ilvl w:val="0"/>
          <w:numId w:val="26"/>
        </w:numPr>
      </w:pPr>
      <w:r w:rsidRPr="00073370">
        <w:t>deliberare sullo scioglimento o la trasformazione della Fondazione.</w:t>
      </w:r>
    </w:p>
    <w:p w:rsidR="00A02F21" w:rsidRDefault="00A02F21" w:rsidP="00DA691D">
      <w:pPr>
        <w:rPr>
          <w:b/>
        </w:rPr>
      </w:pPr>
    </w:p>
    <w:p w:rsidR="00073370" w:rsidRPr="00073370" w:rsidRDefault="00073370" w:rsidP="00DA691D">
      <w:pPr>
        <w:rPr>
          <w:b/>
        </w:rPr>
      </w:pPr>
      <w:r w:rsidRPr="00073370">
        <w:rPr>
          <w:b/>
        </w:rPr>
        <w:t>Organo di controllo</w:t>
      </w:r>
      <w:r w:rsidR="00A02F21">
        <w:rPr>
          <w:b/>
        </w:rPr>
        <w:t xml:space="preserve"> con funzione di revisione legale</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3317"/>
        <w:gridCol w:w="3318"/>
        <w:gridCol w:w="3316"/>
      </w:tblGrid>
      <w:tr w:rsidR="00073370" w:rsidRPr="00073370" w:rsidTr="00073370">
        <w:trPr>
          <w:tblHeader/>
        </w:trPr>
        <w:tc>
          <w:tcPr>
            <w:tcW w:w="1667" w:type="pct"/>
            <w:tcBorders>
              <w:top w:val="single" w:sz="12" w:space="0" w:color="000000"/>
              <w:bottom w:val="single" w:sz="12" w:space="0" w:color="000000"/>
            </w:tcBorders>
            <w:shd w:val="clear" w:color="auto" w:fill="C6D9F1"/>
            <w:vAlign w:val="center"/>
          </w:tcPr>
          <w:p w:rsidR="00073370" w:rsidRPr="00073370" w:rsidRDefault="00073370" w:rsidP="00073370">
            <w:pPr>
              <w:pStyle w:val="Tabella"/>
              <w:jc w:val="center"/>
              <w:rPr>
                <w:b/>
              </w:rPr>
            </w:pPr>
            <w:r w:rsidRPr="00073370">
              <w:rPr>
                <w:b/>
              </w:rPr>
              <w:t>Cognome nome</w:t>
            </w:r>
          </w:p>
        </w:tc>
        <w:tc>
          <w:tcPr>
            <w:tcW w:w="1667" w:type="pct"/>
            <w:tcBorders>
              <w:top w:val="single" w:sz="12" w:space="0" w:color="000000"/>
              <w:bottom w:val="single" w:sz="12" w:space="0" w:color="000000"/>
            </w:tcBorders>
            <w:shd w:val="clear" w:color="auto" w:fill="C6D9F1"/>
            <w:vAlign w:val="center"/>
          </w:tcPr>
          <w:p w:rsidR="00073370" w:rsidRPr="00073370" w:rsidRDefault="00073370" w:rsidP="00073370">
            <w:pPr>
              <w:pStyle w:val="Tabella"/>
              <w:jc w:val="center"/>
              <w:rPr>
                <w:b/>
              </w:rPr>
            </w:pPr>
            <w:r w:rsidRPr="00073370">
              <w:rPr>
                <w:b/>
              </w:rPr>
              <w:t>Data di prima nomina</w:t>
            </w:r>
          </w:p>
        </w:tc>
        <w:tc>
          <w:tcPr>
            <w:tcW w:w="1667" w:type="pct"/>
            <w:tcBorders>
              <w:top w:val="single" w:sz="12" w:space="0" w:color="000000"/>
              <w:bottom w:val="single" w:sz="12" w:space="0" w:color="000000"/>
            </w:tcBorders>
            <w:shd w:val="clear" w:color="auto" w:fill="C6D9F1"/>
            <w:vAlign w:val="center"/>
          </w:tcPr>
          <w:p w:rsidR="00073370" w:rsidRPr="00073370" w:rsidRDefault="00073370" w:rsidP="00073370">
            <w:pPr>
              <w:pStyle w:val="Tabella"/>
              <w:jc w:val="center"/>
              <w:rPr>
                <w:b/>
              </w:rPr>
            </w:pPr>
            <w:r w:rsidRPr="00073370">
              <w:rPr>
                <w:b/>
              </w:rPr>
              <w:t>Durata in carica</w:t>
            </w:r>
          </w:p>
        </w:tc>
      </w:tr>
      <w:tr w:rsidR="00073370" w:rsidRPr="00073370" w:rsidTr="00073370">
        <w:tc>
          <w:tcPr>
            <w:tcW w:w="1667" w:type="pct"/>
            <w:tcBorders>
              <w:top w:val="single" w:sz="12" w:space="0" w:color="000000"/>
              <w:bottom w:val="single" w:sz="12" w:space="0" w:color="000000"/>
            </w:tcBorders>
            <w:shd w:val="clear" w:color="auto" w:fill="FFFFFF"/>
            <w:vAlign w:val="center"/>
          </w:tcPr>
          <w:p w:rsidR="00073370" w:rsidRPr="00073370" w:rsidRDefault="00073370" w:rsidP="00073370">
            <w:pPr>
              <w:pStyle w:val="Tabella"/>
              <w:rPr>
                <w:color w:val="auto"/>
              </w:rPr>
            </w:pPr>
            <w:r w:rsidRPr="00073370">
              <w:rPr>
                <w:color w:val="auto"/>
              </w:rPr>
              <w:t>Cristian Perini</w:t>
            </w:r>
          </w:p>
        </w:tc>
        <w:tc>
          <w:tcPr>
            <w:tcW w:w="1667" w:type="pct"/>
            <w:tcBorders>
              <w:top w:val="single" w:sz="12" w:space="0" w:color="000000"/>
              <w:bottom w:val="single" w:sz="12" w:space="0" w:color="000000"/>
            </w:tcBorders>
            <w:shd w:val="clear" w:color="auto" w:fill="FFFFFF"/>
            <w:vAlign w:val="center"/>
          </w:tcPr>
          <w:p w:rsidR="00073370" w:rsidRPr="00073370" w:rsidRDefault="00073370" w:rsidP="00073370">
            <w:pPr>
              <w:pStyle w:val="Tabella"/>
              <w:jc w:val="center"/>
              <w:rPr>
                <w:color w:val="auto"/>
              </w:rPr>
            </w:pPr>
            <w:r w:rsidRPr="00073370">
              <w:rPr>
                <w:color w:val="auto"/>
              </w:rPr>
              <w:t>21/11/2025</w:t>
            </w:r>
          </w:p>
        </w:tc>
        <w:tc>
          <w:tcPr>
            <w:tcW w:w="1667" w:type="pct"/>
            <w:tcBorders>
              <w:top w:val="single" w:sz="12" w:space="0" w:color="000000"/>
              <w:bottom w:val="single" w:sz="12" w:space="0" w:color="000000"/>
            </w:tcBorders>
            <w:shd w:val="clear" w:color="auto" w:fill="FFFFFF"/>
            <w:vAlign w:val="center"/>
          </w:tcPr>
          <w:p w:rsidR="00073370" w:rsidRPr="00073370" w:rsidRDefault="00073370" w:rsidP="00073370">
            <w:pPr>
              <w:pStyle w:val="Tabella"/>
              <w:jc w:val="center"/>
              <w:rPr>
                <w:color w:val="auto"/>
              </w:rPr>
            </w:pPr>
            <w:r w:rsidRPr="00073370">
              <w:rPr>
                <w:color w:val="auto"/>
              </w:rPr>
              <w:t>3 anni</w:t>
            </w:r>
          </w:p>
        </w:tc>
      </w:tr>
    </w:tbl>
    <w:p w:rsidR="00073370" w:rsidRPr="00073370" w:rsidRDefault="00073370" w:rsidP="00073370">
      <w:r w:rsidRPr="00073370">
        <w:t>L'Organo di Controllo vigila sull'osservanza della legge e dello statuto e sul rispetto dei principi di corretta amministrazione, nonché sull'adeguatezza dell'assetto organizzativo, amministrativo e contabile e sul suo concreto funzionamento.</w:t>
      </w:r>
    </w:p>
    <w:p w:rsidR="00073370" w:rsidRPr="00073370" w:rsidRDefault="00073370" w:rsidP="00073370">
      <w:r w:rsidRPr="00073370">
        <w:t>L'Organo di Controllo esercita inoltre compiti di monitoraggio dell'osservanza delle finalità civiche, solidaristiche e di utilità sociale; in caso di redazione del bilancio sociale, attesta che lo stesso sia stato redatto in conformità alle linee guida previste dalla legge. Il bilancio sociale dà atto degli esiti del monitoraggio svolto dall'Organo di Controllo.</w:t>
      </w:r>
    </w:p>
    <w:p w:rsidR="00DA691D" w:rsidRPr="0003589B" w:rsidRDefault="0003589B" w:rsidP="00311628">
      <w:r w:rsidRPr="0003589B">
        <w:t>La struttura dell'ente è improntata al princip</w:t>
      </w:r>
      <w:r w:rsidR="00152C3B">
        <w:t>i</w:t>
      </w:r>
      <w:r w:rsidRPr="0003589B">
        <w:t xml:space="preserve">o della democraticità interna. Si forniscono inoltre i seguenti approfondimenti sugli aspetti relativi alla democraticità interna e alla partecipazione degli associati alla vita dell'ente, in quanto di rilevanza rispetto alle previsioni statutarie. </w:t>
      </w:r>
    </w:p>
    <w:p w:rsidR="00B559F0" w:rsidRPr="00B559F0" w:rsidRDefault="00B559F0" w:rsidP="00A30FD5">
      <w:r w:rsidRPr="00B559F0">
        <w:t>Di seguito si forniscono le informazioni circa i principali stakeholder e le modalità del loro coinvolgimento:</w:t>
      </w:r>
    </w:p>
    <w:p w:rsidR="00B559F0" w:rsidRPr="00B559F0" w:rsidRDefault="00B559F0" w:rsidP="00523F67">
      <w:pPr>
        <w:numPr>
          <w:ilvl w:val="0"/>
          <w:numId w:val="4"/>
        </w:numPr>
        <w:jc w:val="left"/>
      </w:pPr>
      <w:r w:rsidRPr="00B559F0">
        <w:t>personale</w:t>
      </w:r>
      <w:r w:rsidR="00A02F21">
        <w:t>;</w:t>
      </w:r>
    </w:p>
    <w:p w:rsidR="00B559F0" w:rsidRPr="00B559F0" w:rsidRDefault="00B559F0" w:rsidP="00523F67">
      <w:pPr>
        <w:numPr>
          <w:ilvl w:val="0"/>
          <w:numId w:val="4"/>
        </w:numPr>
        <w:jc w:val="left"/>
      </w:pPr>
      <w:r w:rsidRPr="00B559F0">
        <w:t>soci</w:t>
      </w:r>
      <w:r w:rsidR="00A02F21">
        <w:t>;</w:t>
      </w:r>
    </w:p>
    <w:p w:rsidR="00B559F0" w:rsidRPr="00B559F0" w:rsidRDefault="00B559F0" w:rsidP="00523F67">
      <w:pPr>
        <w:numPr>
          <w:ilvl w:val="0"/>
          <w:numId w:val="4"/>
        </w:numPr>
        <w:jc w:val="left"/>
      </w:pPr>
      <w:r w:rsidRPr="00B559F0">
        <w:t>finanziatori</w:t>
      </w:r>
      <w:r w:rsidR="00A02F21">
        <w:t>;</w:t>
      </w:r>
    </w:p>
    <w:p w:rsidR="00B559F0" w:rsidRPr="00B559F0" w:rsidRDefault="00B559F0" w:rsidP="00523F67">
      <w:pPr>
        <w:numPr>
          <w:ilvl w:val="0"/>
          <w:numId w:val="4"/>
        </w:numPr>
        <w:jc w:val="left"/>
      </w:pPr>
      <w:r w:rsidRPr="00B559F0">
        <w:t>clienti/utenti</w:t>
      </w:r>
      <w:r w:rsidR="00A02F21">
        <w:t>;</w:t>
      </w:r>
    </w:p>
    <w:p w:rsidR="00B559F0" w:rsidRPr="00B559F0" w:rsidRDefault="00B559F0" w:rsidP="00523F67">
      <w:pPr>
        <w:numPr>
          <w:ilvl w:val="0"/>
          <w:numId w:val="4"/>
        </w:numPr>
        <w:jc w:val="left"/>
      </w:pPr>
      <w:r w:rsidRPr="00B559F0">
        <w:t>fornitori</w:t>
      </w:r>
      <w:r w:rsidR="00A02F21">
        <w:t>;</w:t>
      </w:r>
    </w:p>
    <w:p w:rsidR="00B559F0" w:rsidRPr="00B559F0" w:rsidRDefault="00B559F0" w:rsidP="00523F67">
      <w:pPr>
        <w:numPr>
          <w:ilvl w:val="0"/>
          <w:numId w:val="4"/>
        </w:numPr>
        <w:jc w:val="left"/>
      </w:pPr>
      <w:r w:rsidRPr="00B559F0">
        <w:t>pubblica amministrazione</w:t>
      </w:r>
      <w:r w:rsidR="00A02F21">
        <w:t>;</w:t>
      </w:r>
    </w:p>
    <w:p w:rsidR="00B559F0" w:rsidRDefault="00B559F0" w:rsidP="00523F67">
      <w:pPr>
        <w:numPr>
          <w:ilvl w:val="0"/>
          <w:numId w:val="4"/>
        </w:numPr>
        <w:jc w:val="left"/>
      </w:pPr>
      <w:r w:rsidRPr="00B559F0">
        <w:t>collettività</w:t>
      </w:r>
      <w:r w:rsidR="00A02F21">
        <w:t>.</w:t>
      </w:r>
    </w:p>
    <w:p w:rsidR="00A02F21" w:rsidRPr="00B559F0" w:rsidRDefault="00A02F21" w:rsidP="00A02F21">
      <w:pPr>
        <w:jc w:val="left"/>
      </w:pPr>
    </w:p>
    <w:p w:rsidR="00B559F0" w:rsidRPr="00B559F0" w:rsidRDefault="00B559F0" w:rsidP="00A30FD5">
      <w:r w:rsidRPr="00B559F0">
        <w:t>In particolare, sono soggetti direttamente interessati alle attività dell'impresa sociale realizzate ai sensi dell'art. 11 del D.Lgs. n. 112/2017:</w:t>
      </w:r>
    </w:p>
    <w:p w:rsidR="00B559F0" w:rsidRPr="00B559F0" w:rsidRDefault="00B559F0" w:rsidP="00523F67">
      <w:pPr>
        <w:numPr>
          <w:ilvl w:val="0"/>
          <w:numId w:val="5"/>
        </w:numPr>
        <w:jc w:val="left"/>
      </w:pPr>
      <w:r w:rsidRPr="00B559F0">
        <w:t>i lavoratori</w:t>
      </w:r>
      <w:r w:rsidR="00A02F21">
        <w:t>;</w:t>
      </w:r>
    </w:p>
    <w:p w:rsidR="00B559F0" w:rsidRPr="00B559F0" w:rsidRDefault="00B559F0" w:rsidP="00523F67">
      <w:pPr>
        <w:numPr>
          <w:ilvl w:val="0"/>
          <w:numId w:val="5"/>
        </w:numPr>
        <w:jc w:val="left"/>
      </w:pPr>
      <w:r w:rsidRPr="00B559F0">
        <w:t>gli utenti</w:t>
      </w:r>
      <w:r w:rsidR="00A02F21">
        <w:t>.</w:t>
      </w:r>
    </w:p>
    <w:p w:rsidR="003D4756" w:rsidRPr="005B5701" w:rsidRDefault="0057403D" w:rsidP="003D4756">
      <w:pPr>
        <w:pStyle w:val="Titolo1"/>
        <w:rPr>
          <w:color w:val="000099"/>
        </w:rPr>
      </w:pPr>
      <w:r w:rsidRPr="005B5701">
        <w:rPr>
          <w:color w:val="000099"/>
        </w:rPr>
        <w:t>Persone che operano per l'ente</w:t>
      </w:r>
    </w:p>
    <w:p w:rsidR="003D4756" w:rsidRPr="00B559F0" w:rsidRDefault="00B559F0" w:rsidP="00311628">
      <w:r w:rsidRPr="00B559F0">
        <w:t xml:space="preserve">Si </w:t>
      </w:r>
      <w:r w:rsidR="00A02F21" w:rsidRPr="00B559F0">
        <w:t>forniscono</w:t>
      </w:r>
      <w:r w:rsidRPr="00B559F0">
        <w:t xml:space="preserve"> di seguito le informazioni sulle tipologie, consistenza e composizione del personale che ha effettivamente operato per l'ente (con esclusione dei lavoratori distaccati presso altri enti) con una retribuzione (a carico dell'ente o di altri soggetti) o a titolo volontario. </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1991"/>
        <w:gridCol w:w="1990"/>
        <w:gridCol w:w="1990"/>
        <w:gridCol w:w="1990"/>
        <w:gridCol w:w="1990"/>
      </w:tblGrid>
      <w:tr w:rsidR="00377A94" w:rsidRPr="00377A94" w:rsidTr="00377A94">
        <w:trPr>
          <w:tblHeader/>
        </w:trPr>
        <w:tc>
          <w:tcPr>
            <w:tcW w:w="1000" w:type="pct"/>
            <w:tcBorders>
              <w:top w:val="single" w:sz="12" w:space="0" w:color="000000"/>
              <w:bottom w:val="single" w:sz="12" w:space="0" w:color="000000"/>
            </w:tcBorders>
            <w:shd w:val="clear" w:color="auto" w:fill="C6D9F1"/>
            <w:vAlign w:val="center"/>
          </w:tcPr>
          <w:p w:rsidR="00377A94" w:rsidRPr="00377A94" w:rsidRDefault="00377A94" w:rsidP="00377A94">
            <w:pPr>
              <w:pStyle w:val="Tabella"/>
              <w:jc w:val="center"/>
              <w:rPr>
                <w:b/>
              </w:rPr>
            </w:pPr>
          </w:p>
        </w:tc>
        <w:tc>
          <w:tcPr>
            <w:tcW w:w="1000" w:type="pct"/>
            <w:tcBorders>
              <w:top w:val="single" w:sz="12" w:space="0" w:color="000000"/>
              <w:bottom w:val="single" w:sz="12" w:space="0" w:color="000000"/>
            </w:tcBorders>
            <w:shd w:val="clear" w:color="auto" w:fill="C6D9F1"/>
            <w:vAlign w:val="center"/>
          </w:tcPr>
          <w:p w:rsidR="00377A94" w:rsidRPr="00377A94" w:rsidRDefault="00377A94" w:rsidP="00377A94">
            <w:pPr>
              <w:pStyle w:val="Tabella"/>
              <w:jc w:val="center"/>
              <w:rPr>
                <w:b/>
              </w:rPr>
            </w:pPr>
            <w:r w:rsidRPr="00377A94">
              <w:rPr>
                <w:b/>
              </w:rPr>
              <w:t>Numero al 31/12/2024</w:t>
            </w:r>
          </w:p>
        </w:tc>
        <w:tc>
          <w:tcPr>
            <w:tcW w:w="1000" w:type="pct"/>
            <w:tcBorders>
              <w:top w:val="single" w:sz="12" w:space="0" w:color="000000"/>
              <w:bottom w:val="single" w:sz="12" w:space="0" w:color="000000"/>
            </w:tcBorders>
            <w:shd w:val="clear" w:color="auto" w:fill="C6D9F1"/>
            <w:vAlign w:val="center"/>
          </w:tcPr>
          <w:p w:rsidR="00377A94" w:rsidRPr="00377A94" w:rsidRDefault="00377A94" w:rsidP="00377A94">
            <w:pPr>
              <w:pStyle w:val="Tabella"/>
              <w:jc w:val="center"/>
              <w:rPr>
                <w:b/>
              </w:rPr>
            </w:pPr>
            <w:r w:rsidRPr="00377A94">
              <w:rPr>
                <w:b/>
              </w:rPr>
              <w:t>Numero al 31/12/2025</w:t>
            </w:r>
          </w:p>
        </w:tc>
        <w:tc>
          <w:tcPr>
            <w:tcW w:w="1000" w:type="pct"/>
            <w:tcBorders>
              <w:top w:val="single" w:sz="12" w:space="0" w:color="000000"/>
              <w:bottom w:val="single" w:sz="12" w:space="0" w:color="000000"/>
            </w:tcBorders>
            <w:shd w:val="clear" w:color="auto" w:fill="C6D9F1"/>
            <w:vAlign w:val="center"/>
          </w:tcPr>
          <w:p w:rsidR="00377A94" w:rsidRPr="00377A94" w:rsidRDefault="00377A94" w:rsidP="00377A94">
            <w:pPr>
              <w:pStyle w:val="Tabella"/>
              <w:jc w:val="center"/>
              <w:rPr>
                <w:b/>
              </w:rPr>
            </w:pPr>
            <w:r w:rsidRPr="00377A94">
              <w:rPr>
                <w:b/>
              </w:rPr>
              <w:t>Attività di formazione e valorizzazione realizzate</w:t>
            </w:r>
          </w:p>
        </w:tc>
        <w:tc>
          <w:tcPr>
            <w:tcW w:w="1000" w:type="pct"/>
            <w:tcBorders>
              <w:top w:val="single" w:sz="12" w:space="0" w:color="000000"/>
              <w:bottom w:val="single" w:sz="12" w:space="0" w:color="000000"/>
            </w:tcBorders>
            <w:shd w:val="clear" w:color="auto" w:fill="C6D9F1"/>
            <w:vAlign w:val="center"/>
          </w:tcPr>
          <w:p w:rsidR="00377A94" w:rsidRPr="00377A94" w:rsidRDefault="00377A94" w:rsidP="00377A94">
            <w:pPr>
              <w:pStyle w:val="Tabella"/>
              <w:jc w:val="center"/>
              <w:rPr>
                <w:b/>
              </w:rPr>
            </w:pPr>
            <w:r w:rsidRPr="00377A94">
              <w:rPr>
                <w:b/>
              </w:rPr>
              <w:t>Contratto di lavoro applicato</w:t>
            </w:r>
          </w:p>
        </w:tc>
      </w:tr>
      <w:tr w:rsidR="00377A94" w:rsidRPr="00377A94" w:rsidTr="00377A94">
        <w:tc>
          <w:tcPr>
            <w:tcW w:w="10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rPr>
                <w:color w:val="auto"/>
              </w:rPr>
            </w:pPr>
            <w:r w:rsidRPr="00377A94">
              <w:rPr>
                <w:color w:val="auto"/>
              </w:rPr>
              <w:t>Impiegati</w:t>
            </w:r>
          </w:p>
        </w:tc>
        <w:tc>
          <w:tcPr>
            <w:tcW w:w="10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jc w:val="right"/>
              <w:rPr>
                <w:color w:val="auto"/>
              </w:rPr>
            </w:pPr>
            <w:r w:rsidRPr="00377A94">
              <w:rPr>
                <w:color w:val="auto"/>
              </w:rPr>
              <w:t>2</w:t>
            </w:r>
          </w:p>
        </w:tc>
        <w:tc>
          <w:tcPr>
            <w:tcW w:w="10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jc w:val="right"/>
              <w:rPr>
                <w:color w:val="auto"/>
              </w:rPr>
            </w:pPr>
            <w:r w:rsidRPr="00377A94">
              <w:rPr>
                <w:color w:val="auto"/>
              </w:rPr>
              <w:t>2</w:t>
            </w:r>
          </w:p>
        </w:tc>
        <w:tc>
          <w:tcPr>
            <w:tcW w:w="10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rPr>
                <w:color w:val="auto"/>
              </w:rPr>
            </w:pPr>
          </w:p>
        </w:tc>
        <w:tc>
          <w:tcPr>
            <w:tcW w:w="10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rPr>
                <w:color w:val="auto"/>
              </w:rPr>
            </w:pPr>
            <w:r>
              <w:rPr>
                <w:color w:val="auto"/>
              </w:rPr>
              <w:t>CCNL COMMERCIO</w:t>
            </w:r>
          </w:p>
        </w:tc>
      </w:tr>
      <w:tr w:rsidR="00377A94" w:rsidRPr="00377A94" w:rsidTr="00377A94">
        <w:tc>
          <w:tcPr>
            <w:tcW w:w="10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rPr>
                <w:color w:val="auto"/>
              </w:rPr>
            </w:pPr>
            <w:r w:rsidRPr="00377A94">
              <w:rPr>
                <w:color w:val="auto"/>
              </w:rPr>
              <w:t>Dirigenti</w:t>
            </w:r>
          </w:p>
        </w:tc>
        <w:tc>
          <w:tcPr>
            <w:tcW w:w="10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jc w:val="right"/>
              <w:rPr>
                <w:color w:val="auto"/>
              </w:rPr>
            </w:pPr>
            <w:r w:rsidRPr="00377A94">
              <w:rPr>
                <w:color w:val="auto"/>
              </w:rPr>
              <w:t>1</w:t>
            </w:r>
          </w:p>
        </w:tc>
        <w:tc>
          <w:tcPr>
            <w:tcW w:w="10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jc w:val="right"/>
              <w:rPr>
                <w:color w:val="auto"/>
              </w:rPr>
            </w:pPr>
            <w:r w:rsidRPr="00377A94">
              <w:rPr>
                <w:color w:val="auto"/>
              </w:rPr>
              <w:t>1</w:t>
            </w:r>
          </w:p>
        </w:tc>
        <w:tc>
          <w:tcPr>
            <w:tcW w:w="10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rPr>
                <w:color w:val="auto"/>
              </w:rPr>
            </w:pPr>
          </w:p>
        </w:tc>
        <w:tc>
          <w:tcPr>
            <w:tcW w:w="10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rPr>
                <w:color w:val="auto"/>
              </w:rPr>
            </w:pPr>
          </w:p>
        </w:tc>
      </w:tr>
      <w:tr w:rsidR="00377A94" w:rsidRPr="00377A94" w:rsidTr="00377A94">
        <w:tc>
          <w:tcPr>
            <w:tcW w:w="1000" w:type="pct"/>
            <w:tcBorders>
              <w:top w:val="single" w:sz="6" w:space="0" w:color="000000"/>
              <w:bottom w:val="single" w:sz="12" w:space="0" w:color="000000"/>
            </w:tcBorders>
            <w:shd w:val="clear" w:color="auto" w:fill="DBE5F1"/>
            <w:vAlign w:val="center"/>
          </w:tcPr>
          <w:p w:rsidR="00377A94" w:rsidRPr="00377A94" w:rsidRDefault="00377A94" w:rsidP="00377A94">
            <w:pPr>
              <w:pStyle w:val="Tabella"/>
              <w:rPr>
                <w:b/>
                <w:color w:val="auto"/>
              </w:rPr>
            </w:pPr>
            <w:r w:rsidRPr="00377A94">
              <w:rPr>
                <w:b/>
                <w:color w:val="auto"/>
              </w:rPr>
              <w:t>Totale</w:t>
            </w:r>
          </w:p>
        </w:tc>
        <w:tc>
          <w:tcPr>
            <w:tcW w:w="1000" w:type="pct"/>
            <w:tcBorders>
              <w:top w:val="single" w:sz="6" w:space="0" w:color="000000"/>
              <w:bottom w:val="single" w:sz="12" w:space="0" w:color="000000"/>
            </w:tcBorders>
            <w:shd w:val="clear" w:color="auto" w:fill="DBE5F1"/>
            <w:vAlign w:val="center"/>
          </w:tcPr>
          <w:p w:rsidR="00377A94" w:rsidRPr="00377A94" w:rsidRDefault="00377A94" w:rsidP="00377A94">
            <w:pPr>
              <w:pStyle w:val="Tabella"/>
              <w:jc w:val="right"/>
              <w:rPr>
                <w:b/>
                <w:color w:val="auto"/>
              </w:rPr>
            </w:pPr>
            <w:r w:rsidRPr="00377A94">
              <w:rPr>
                <w:b/>
                <w:color w:val="auto"/>
              </w:rPr>
              <w:t>3</w:t>
            </w:r>
          </w:p>
        </w:tc>
        <w:tc>
          <w:tcPr>
            <w:tcW w:w="1000" w:type="pct"/>
            <w:tcBorders>
              <w:top w:val="single" w:sz="6" w:space="0" w:color="000000"/>
              <w:bottom w:val="single" w:sz="12" w:space="0" w:color="000000"/>
            </w:tcBorders>
            <w:shd w:val="clear" w:color="auto" w:fill="DBE5F1"/>
            <w:vAlign w:val="center"/>
          </w:tcPr>
          <w:p w:rsidR="00377A94" w:rsidRPr="00377A94" w:rsidRDefault="00377A94" w:rsidP="00377A94">
            <w:pPr>
              <w:pStyle w:val="Tabella"/>
              <w:jc w:val="right"/>
              <w:rPr>
                <w:b/>
                <w:color w:val="auto"/>
              </w:rPr>
            </w:pPr>
            <w:r w:rsidRPr="00377A94">
              <w:rPr>
                <w:b/>
                <w:color w:val="auto"/>
              </w:rPr>
              <w:t>3</w:t>
            </w:r>
          </w:p>
        </w:tc>
        <w:tc>
          <w:tcPr>
            <w:tcW w:w="1000" w:type="pct"/>
            <w:tcBorders>
              <w:top w:val="single" w:sz="6" w:space="0" w:color="000000"/>
              <w:bottom w:val="single" w:sz="12" w:space="0" w:color="000000"/>
            </w:tcBorders>
            <w:shd w:val="clear" w:color="auto" w:fill="DBE5F1"/>
            <w:vAlign w:val="center"/>
          </w:tcPr>
          <w:p w:rsidR="00377A94" w:rsidRPr="00377A94" w:rsidRDefault="00377A94" w:rsidP="00377A94">
            <w:pPr>
              <w:pStyle w:val="Tabella"/>
              <w:rPr>
                <w:b/>
                <w:color w:val="auto"/>
              </w:rPr>
            </w:pPr>
          </w:p>
        </w:tc>
        <w:tc>
          <w:tcPr>
            <w:tcW w:w="1000" w:type="pct"/>
            <w:tcBorders>
              <w:top w:val="single" w:sz="6" w:space="0" w:color="000000"/>
              <w:bottom w:val="single" w:sz="12" w:space="0" w:color="000000"/>
            </w:tcBorders>
            <w:shd w:val="clear" w:color="auto" w:fill="DBE5F1"/>
            <w:vAlign w:val="center"/>
          </w:tcPr>
          <w:p w:rsidR="00377A94" w:rsidRPr="00377A94" w:rsidRDefault="00377A94" w:rsidP="00377A94">
            <w:pPr>
              <w:pStyle w:val="Tabella"/>
              <w:rPr>
                <w:b/>
                <w:color w:val="auto"/>
              </w:rPr>
            </w:pPr>
          </w:p>
        </w:tc>
      </w:tr>
    </w:tbl>
    <w:p w:rsidR="003D4756" w:rsidRPr="00377A94" w:rsidRDefault="003D4756" w:rsidP="00B559F0"/>
    <w:p w:rsidR="0084009E" w:rsidRPr="00B559F0" w:rsidRDefault="00B559F0" w:rsidP="003D4756">
      <w:r w:rsidRPr="00B559F0">
        <w:t xml:space="preserve">Si forniscono di seguito le informazioni sulla struttura dei compensi, delle retribuzioni, delle </w:t>
      </w:r>
      <w:r w:rsidR="00A02F21" w:rsidRPr="00B559F0">
        <w:t>indennità</w:t>
      </w:r>
      <w:r w:rsidRPr="00B559F0">
        <w:t xml:space="preserve"> di carica e sulla </w:t>
      </w:r>
      <w:r w:rsidR="00A02F21" w:rsidRPr="00B559F0">
        <w:t>modalità</w:t>
      </w:r>
      <w:r w:rsidRPr="00B559F0">
        <w:t xml:space="preserve"> e importi dei rimborsi ai volontari, richieste dall'art. 14, comma 2 del D.Lgs. 117/2017. </w:t>
      </w:r>
    </w:p>
    <w:p w:rsidR="00842DEE" w:rsidRPr="00B559F0" w:rsidRDefault="00842DEE" w:rsidP="003D4756"/>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4975"/>
        <w:gridCol w:w="4976"/>
      </w:tblGrid>
      <w:tr w:rsidR="00377A94" w:rsidRPr="00377A94" w:rsidTr="00377A94">
        <w:trPr>
          <w:tblHeader/>
        </w:trPr>
        <w:tc>
          <w:tcPr>
            <w:tcW w:w="2500" w:type="pct"/>
            <w:tcBorders>
              <w:top w:val="single" w:sz="12" w:space="0" w:color="000000"/>
              <w:bottom w:val="single" w:sz="12" w:space="0" w:color="000000"/>
            </w:tcBorders>
            <w:shd w:val="clear" w:color="auto" w:fill="C6D9F1"/>
            <w:vAlign w:val="center"/>
          </w:tcPr>
          <w:p w:rsidR="00377A94" w:rsidRPr="00377A94" w:rsidRDefault="00377A94" w:rsidP="00377A94">
            <w:pPr>
              <w:pStyle w:val="Tabella"/>
              <w:jc w:val="center"/>
              <w:rPr>
                <w:b/>
              </w:rPr>
            </w:pPr>
          </w:p>
        </w:tc>
        <w:tc>
          <w:tcPr>
            <w:tcW w:w="2500" w:type="pct"/>
            <w:tcBorders>
              <w:top w:val="single" w:sz="12" w:space="0" w:color="000000"/>
              <w:bottom w:val="single" w:sz="12" w:space="0" w:color="000000"/>
            </w:tcBorders>
            <w:shd w:val="clear" w:color="auto" w:fill="C6D9F1"/>
            <w:vAlign w:val="center"/>
          </w:tcPr>
          <w:p w:rsidR="00377A94" w:rsidRPr="00377A94" w:rsidRDefault="00377A94" w:rsidP="00377A94">
            <w:pPr>
              <w:pStyle w:val="Tabella"/>
              <w:jc w:val="center"/>
              <w:rPr>
                <w:b/>
              </w:rPr>
            </w:pPr>
            <w:r w:rsidRPr="00377A94">
              <w:rPr>
                <w:b/>
              </w:rPr>
              <w:t>Emolumenti, compensi o corrispettivi a qualsiasi titolo attribuiti nell'esercizio</w:t>
            </w:r>
          </w:p>
        </w:tc>
      </w:tr>
      <w:tr w:rsidR="00377A94" w:rsidRPr="00377A94" w:rsidTr="00377A94">
        <w:tc>
          <w:tcPr>
            <w:tcW w:w="2500" w:type="pct"/>
            <w:tcBorders>
              <w:top w:val="single" w:sz="12" w:space="0" w:color="000000"/>
              <w:bottom w:val="single" w:sz="6" w:space="0" w:color="000000"/>
            </w:tcBorders>
            <w:shd w:val="clear" w:color="auto" w:fill="FFFFFF"/>
            <w:vAlign w:val="center"/>
          </w:tcPr>
          <w:p w:rsidR="00377A94" w:rsidRPr="00377A94" w:rsidRDefault="00377A94" w:rsidP="00377A94">
            <w:pPr>
              <w:pStyle w:val="Tabella"/>
              <w:rPr>
                <w:color w:val="auto"/>
              </w:rPr>
            </w:pPr>
            <w:r w:rsidRPr="00377A94">
              <w:rPr>
                <w:color w:val="auto"/>
              </w:rPr>
              <w:t>Organo di Amministrazione</w:t>
            </w:r>
          </w:p>
        </w:tc>
        <w:tc>
          <w:tcPr>
            <w:tcW w:w="2500" w:type="pct"/>
            <w:tcBorders>
              <w:top w:val="single" w:sz="12" w:space="0" w:color="000000"/>
              <w:bottom w:val="single" w:sz="6" w:space="0" w:color="000000"/>
            </w:tcBorders>
            <w:shd w:val="clear" w:color="auto" w:fill="FFFFFF"/>
            <w:vAlign w:val="center"/>
          </w:tcPr>
          <w:p w:rsidR="00377A94" w:rsidRPr="00377A94" w:rsidRDefault="00377A94" w:rsidP="00377A94">
            <w:pPr>
              <w:pStyle w:val="Tabella"/>
              <w:jc w:val="right"/>
              <w:rPr>
                <w:color w:val="auto"/>
              </w:rPr>
            </w:pPr>
            <w:r w:rsidRPr="00377A94">
              <w:rPr>
                <w:color w:val="auto"/>
              </w:rPr>
              <w:t>103.135</w:t>
            </w:r>
          </w:p>
        </w:tc>
      </w:tr>
      <w:tr w:rsidR="00377A94" w:rsidRPr="00377A94" w:rsidTr="00377A94">
        <w:tc>
          <w:tcPr>
            <w:tcW w:w="25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rPr>
                <w:color w:val="auto"/>
              </w:rPr>
            </w:pPr>
            <w:r w:rsidRPr="00377A94">
              <w:rPr>
                <w:color w:val="auto"/>
              </w:rPr>
              <w:t>Organo di Controllo</w:t>
            </w:r>
          </w:p>
        </w:tc>
        <w:tc>
          <w:tcPr>
            <w:tcW w:w="25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jc w:val="right"/>
              <w:rPr>
                <w:color w:val="auto"/>
              </w:rPr>
            </w:pPr>
            <w:r w:rsidRPr="00377A94">
              <w:rPr>
                <w:color w:val="auto"/>
              </w:rPr>
              <w:t>5.000</w:t>
            </w:r>
          </w:p>
        </w:tc>
      </w:tr>
      <w:tr w:rsidR="00377A94" w:rsidRPr="00377A94" w:rsidTr="00377A94">
        <w:tc>
          <w:tcPr>
            <w:tcW w:w="2500" w:type="pct"/>
            <w:tcBorders>
              <w:top w:val="single" w:sz="6" w:space="0" w:color="000000"/>
              <w:bottom w:val="single" w:sz="12" w:space="0" w:color="000000"/>
            </w:tcBorders>
            <w:shd w:val="clear" w:color="auto" w:fill="DBE5F1"/>
            <w:vAlign w:val="center"/>
          </w:tcPr>
          <w:p w:rsidR="00377A94" w:rsidRPr="00377A94" w:rsidRDefault="00377A94" w:rsidP="00377A94">
            <w:pPr>
              <w:pStyle w:val="Tabella"/>
              <w:rPr>
                <w:b/>
                <w:color w:val="auto"/>
              </w:rPr>
            </w:pPr>
            <w:r w:rsidRPr="00377A94">
              <w:rPr>
                <w:b/>
                <w:color w:val="auto"/>
              </w:rPr>
              <w:t>Totale</w:t>
            </w:r>
          </w:p>
        </w:tc>
        <w:tc>
          <w:tcPr>
            <w:tcW w:w="2500" w:type="pct"/>
            <w:tcBorders>
              <w:top w:val="single" w:sz="6" w:space="0" w:color="000000"/>
              <w:bottom w:val="single" w:sz="12" w:space="0" w:color="000000"/>
            </w:tcBorders>
            <w:shd w:val="clear" w:color="auto" w:fill="DBE5F1"/>
            <w:vAlign w:val="center"/>
          </w:tcPr>
          <w:p w:rsidR="00377A94" w:rsidRPr="00377A94" w:rsidRDefault="00377A94" w:rsidP="00377A94">
            <w:pPr>
              <w:pStyle w:val="Tabella"/>
              <w:jc w:val="right"/>
              <w:rPr>
                <w:b/>
                <w:color w:val="auto"/>
              </w:rPr>
            </w:pPr>
            <w:r w:rsidRPr="00377A94">
              <w:rPr>
                <w:b/>
                <w:color w:val="auto"/>
              </w:rPr>
              <w:t>108.135</w:t>
            </w:r>
          </w:p>
        </w:tc>
      </w:tr>
    </w:tbl>
    <w:p w:rsidR="00A02F21" w:rsidRDefault="00377A94" w:rsidP="00377A94">
      <w:r w:rsidRPr="00377A94">
        <w:t>L'ente dà atto del rispetto, nell'esercizio di riferimento, del parametro fissato dall'art. 16 del D.Lgs. 117/2017, sulla base dei dati forniti nella tabella che segue.</w:t>
      </w:r>
    </w:p>
    <w:p w:rsidR="00377A94" w:rsidRPr="00377A94" w:rsidRDefault="00377A94" w:rsidP="00377A94">
      <w:r w:rsidRPr="00377A94">
        <w:t xml:space="preserve">L'art. 16 del D.Lgs. 117/2017 prescrive che "i lavoratori degli Enti del Terzo Settore hanno diritto ad un trattamento economico e normativo non inferiore a quello previsto dai contratti collettivi di cui all'art. 51 del D.Lgs. 15 giugno 2015, n. 81. In ogni caso, in ciascun Ente del Terzo Settore, la differenza retributiva tra lavoratori dipendenti non può essere superiore al rapporto uno a otto, da calcolarsi sulla base della retribuzione annua lorda. Gli Enti del Terzo Settore danno conto del rispetto di tale parametro nel proprio bilancio sociale o, in mancanza, nella relazione di cui all'art. 13, comma 1".  </w:t>
      </w:r>
    </w:p>
    <w:tbl>
      <w:tblPr>
        <w:tblW w:w="5000" w:type="pct"/>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4975"/>
        <w:gridCol w:w="4976"/>
      </w:tblGrid>
      <w:tr w:rsidR="00377A94" w:rsidRPr="00377A94" w:rsidTr="00377A94">
        <w:trPr>
          <w:tblHeader/>
        </w:trPr>
        <w:tc>
          <w:tcPr>
            <w:tcW w:w="2500" w:type="pct"/>
            <w:tcBorders>
              <w:top w:val="single" w:sz="12" w:space="0" w:color="000000"/>
              <w:bottom w:val="single" w:sz="12" w:space="0" w:color="000000"/>
            </w:tcBorders>
            <w:shd w:val="clear" w:color="auto" w:fill="C6D9F1"/>
            <w:vAlign w:val="center"/>
          </w:tcPr>
          <w:p w:rsidR="00377A94" w:rsidRPr="00377A94" w:rsidRDefault="00377A94" w:rsidP="00377A94">
            <w:pPr>
              <w:pStyle w:val="Tabella"/>
              <w:jc w:val="center"/>
              <w:rPr>
                <w:b/>
              </w:rPr>
            </w:pPr>
          </w:p>
        </w:tc>
        <w:tc>
          <w:tcPr>
            <w:tcW w:w="2500" w:type="pct"/>
            <w:tcBorders>
              <w:top w:val="single" w:sz="12" w:space="0" w:color="000000"/>
              <w:bottom w:val="single" w:sz="12" w:space="0" w:color="000000"/>
            </w:tcBorders>
            <w:shd w:val="clear" w:color="auto" w:fill="C6D9F1"/>
            <w:vAlign w:val="center"/>
          </w:tcPr>
          <w:p w:rsidR="00377A94" w:rsidRPr="00377A94" w:rsidRDefault="00377A94" w:rsidP="00377A94">
            <w:pPr>
              <w:pStyle w:val="Tabella"/>
              <w:jc w:val="right"/>
              <w:rPr>
                <w:b/>
              </w:rPr>
            </w:pPr>
            <w:r w:rsidRPr="00377A94">
              <w:rPr>
                <w:b/>
              </w:rPr>
              <w:t>Importo</w:t>
            </w:r>
          </w:p>
        </w:tc>
      </w:tr>
      <w:tr w:rsidR="00377A94" w:rsidRPr="00377A94" w:rsidTr="00377A94">
        <w:tc>
          <w:tcPr>
            <w:tcW w:w="2500" w:type="pct"/>
            <w:tcBorders>
              <w:top w:val="single" w:sz="12" w:space="0" w:color="000000"/>
              <w:bottom w:val="single" w:sz="6" w:space="0" w:color="000000"/>
            </w:tcBorders>
            <w:shd w:val="clear" w:color="auto" w:fill="FFFFFF"/>
            <w:vAlign w:val="center"/>
          </w:tcPr>
          <w:p w:rsidR="00377A94" w:rsidRPr="00377A94" w:rsidRDefault="00377A94" w:rsidP="00377A94">
            <w:pPr>
              <w:pStyle w:val="Tabella"/>
              <w:rPr>
                <w:color w:val="auto"/>
              </w:rPr>
            </w:pPr>
            <w:r w:rsidRPr="00377A94">
              <w:rPr>
                <w:color w:val="auto"/>
              </w:rPr>
              <w:t>Retribuzione annua lorda più bassa</w:t>
            </w:r>
          </w:p>
        </w:tc>
        <w:tc>
          <w:tcPr>
            <w:tcW w:w="2500" w:type="pct"/>
            <w:tcBorders>
              <w:top w:val="single" w:sz="12" w:space="0" w:color="000000"/>
              <w:bottom w:val="single" w:sz="6" w:space="0" w:color="000000"/>
            </w:tcBorders>
            <w:shd w:val="clear" w:color="auto" w:fill="FFFFFF"/>
            <w:vAlign w:val="center"/>
          </w:tcPr>
          <w:p w:rsidR="00377A94" w:rsidRPr="00377A94" w:rsidRDefault="00377A94" w:rsidP="00377A94">
            <w:pPr>
              <w:pStyle w:val="Tabella"/>
              <w:jc w:val="right"/>
              <w:rPr>
                <w:color w:val="auto"/>
              </w:rPr>
            </w:pPr>
            <w:r w:rsidRPr="00377A94">
              <w:rPr>
                <w:color w:val="auto"/>
              </w:rPr>
              <w:t>25</w:t>
            </w:r>
            <w:r>
              <w:rPr>
                <w:color w:val="auto"/>
              </w:rPr>
              <w:t>.</w:t>
            </w:r>
            <w:r w:rsidRPr="00377A94">
              <w:rPr>
                <w:color w:val="auto"/>
              </w:rPr>
              <w:t>293</w:t>
            </w:r>
          </w:p>
        </w:tc>
      </w:tr>
      <w:tr w:rsidR="00377A94" w:rsidRPr="00377A94" w:rsidTr="00377A94">
        <w:tc>
          <w:tcPr>
            <w:tcW w:w="25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rPr>
                <w:color w:val="auto"/>
              </w:rPr>
            </w:pPr>
            <w:r w:rsidRPr="00377A94">
              <w:rPr>
                <w:color w:val="auto"/>
              </w:rPr>
              <w:t>Retribuzione annua lorda più alta</w:t>
            </w:r>
          </w:p>
        </w:tc>
        <w:tc>
          <w:tcPr>
            <w:tcW w:w="25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jc w:val="right"/>
              <w:rPr>
                <w:color w:val="auto"/>
              </w:rPr>
            </w:pPr>
            <w:r w:rsidRPr="00377A94">
              <w:rPr>
                <w:color w:val="auto"/>
              </w:rPr>
              <w:t>103</w:t>
            </w:r>
            <w:r>
              <w:rPr>
                <w:color w:val="auto"/>
              </w:rPr>
              <w:t>.</w:t>
            </w:r>
            <w:r w:rsidRPr="00377A94">
              <w:rPr>
                <w:color w:val="auto"/>
              </w:rPr>
              <w:t>135</w:t>
            </w:r>
          </w:p>
        </w:tc>
      </w:tr>
      <w:tr w:rsidR="00377A94" w:rsidRPr="00377A94" w:rsidTr="00377A94">
        <w:tc>
          <w:tcPr>
            <w:tcW w:w="25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rPr>
                <w:color w:val="auto"/>
              </w:rPr>
            </w:pPr>
            <w:r w:rsidRPr="00377A94">
              <w:rPr>
                <w:color w:val="auto"/>
              </w:rPr>
              <w:t>Differenza retributiva (rapporto)</w:t>
            </w:r>
          </w:p>
        </w:tc>
        <w:tc>
          <w:tcPr>
            <w:tcW w:w="2500" w:type="pct"/>
            <w:tcBorders>
              <w:top w:val="single" w:sz="6" w:space="0" w:color="000000"/>
              <w:bottom w:val="single" w:sz="6" w:space="0" w:color="000000"/>
            </w:tcBorders>
            <w:shd w:val="clear" w:color="auto" w:fill="FFFFFF"/>
            <w:vAlign w:val="center"/>
          </w:tcPr>
          <w:p w:rsidR="00377A94" w:rsidRPr="00377A94" w:rsidRDefault="00377A94" w:rsidP="00377A94">
            <w:pPr>
              <w:pStyle w:val="Tabella"/>
              <w:jc w:val="right"/>
              <w:rPr>
                <w:color w:val="auto"/>
              </w:rPr>
            </w:pPr>
            <w:r w:rsidRPr="00377A94">
              <w:rPr>
                <w:color w:val="auto"/>
              </w:rPr>
              <w:t>0.3</w:t>
            </w:r>
          </w:p>
        </w:tc>
      </w:tr>
      <w:tr w:rsidR="00377A94" w:rsidRPr="00377A94" w:rsidTr="00377A94">
        <w:tc>
          <w:tcPr>
            <w:tcW w:w="2500" w:type="pct"/>
            <w:tcBorders>
              <w:top w:val="single" w:sz="6" w:space="0" w:color="000000"/>
              <w:bottom w:val="single" w:sz="12" w:space="0" w:color="000000"/>
            </w:tcBorders>
            <w:shd w:val="clear" w:color="auto" w:fill="FFFFFF"/>
            <w:vAlign w:val="center"/>
          </w:tcPr>
          <w:p w:rsidR="00377A94" w:rsidRPr="00377A94" w:rsidRDefault="00377A94" w:rsidP="00377A94">
            <w:pPr>
              <w:pStyle w:val="Tabella"/>
              <w:rPr>
                <w:color w:val="auto"/>
              </w:rPr>
            </w:pPr>
            <w:r w:rsidRPr="00377A94">
              <w:rPr>
                <w:color w:val="auto"/>
              </w:rPr>
              <w:t>Verifica che la differenza retributiva sia non superiore al rapporto 1 a 8</w:t>
            </w:r>
          </w:p>
        </w:tc>
        <w:tc>
          <w:tcPr>
            <w:tcW w:w="2500" w:type="pct"/>
            <w:tcBorders>
              <w:top w:val="single" w:sz="6" w:space="0" w:color="000000"/>
              <w:bottom w:val="single" w:sz="12" w:space="0" w:color="000000"/>
            </w:tcBorders>
            <w:shd w:val="clear" w:color="auto" w:fill="FFFFFF"/>
            <w:vAlign w:val="center"/>
          </w:tcPr>
          <w:p w:rsidR="00377A94" w:rsidRPr="00377A94" w:rsidRDefault="00377A94" w:rsidP="00377A94">
            <w:pPr>
              <w:pStyle w:val="Tabella"/>
              <w:jc w:val="right"/>
              <w:rPr>
                <w:color w:val="auto"/>
              </w:rPr>
            </w:pPr>
            <w:r w:rsidRPr="00377A94">
              <w:rPr>
                <w:color w:val="auto"/>
              </w:rPr>
              <w:t>OK</w:t>
            </w:r>
          </w:p>
        </w:tc>
      </w:tr>
    </w:tbl>
    <w:p w:rsidR="00C56B33" w:rsidRPr="00B559F0" w:rsidRDefault="00B559F0" w:rsidP="00C56B33">
      <w:r w:rsidRPr="00B559F0">
        <w:t xml:space="preserve">Le informazioni sui compensi di cui all'art. 14, comma 2 del codice del Terzo Settore costituiscono oggetto di pubblicazione, anche in forma anonima, sul sito internet dell'ente o della rete associativa cui l'ente aderisce. </w:t>
      </w:r>
    </w:p>
    <w:p w:rsidR="003D4756" w:rsidRPr="005B5701" w:rsidRDefault="0057403D" w:rsidP="003D4756">
      <w:pPr>
        <w:pStyle w:val="Titolo1"/>
        <w:rPr>
          <w:color w:val="000099"/>
        </w:rPr>
      </w:pPr>
      <w:r w:rsidRPr="005B5701">
        <w:rPr>
          <w:color w:val="000099"/>
        </w:rPr>
        <w:t>Obiettivi e attività</w:t>
      </w:r>
    </w:p>
    <w:p w:rsidR="00B559F0" w:rsidRPr="00B559F0" w:rsidRDefault="00B559F0" w:rsidP="005C7E21">
      <w:r w:rsidRPr="00B559F0">
        <w:t xml:space="preserve">Nella presente sezione si forniscono le informazioni qualitative e quantitative: </w:t>
      </w:r>
    </w:p>
    <w:p w:rsidR="00B559F0" w:rsidRPr="00B559F0" w:rsidRDefault="00B559F0" w:rsidP="00523F67">
      <w:pPr>
        <w:numPr>
          <w:ilvl w:val="0"/>
          <w:numId w:val="6"/>
        </w:numPr>
        <w:jc w:val="left"/>
      </w:pPr>
      <w:r w:rsidRPr="00B559F0">
        <w:t>sulle azioni realizzate nelle diverse aree di attività,</w:t>
      </w:r>
    </w:p>
    <w:p w:rsidR="00B559F0" w:rsidRPr="00B559F0" w:rsidRDefault="00B559F0" w:rsidP="00523F67">
      <w:pPr>
        <w:numPr>
          <w:ilvl w:val="0"/>
          <w:numId w:val="6"/>
        </w:numPr>
        <w:jc w:val="left"/>
      </w:pPr>
      <w:r w:rsidRPr="00B559F0">
        <w:t xml:space="preserve">sui beneficiari diretti e indiretti, </w:t>
      </w:r>
    </w:p>
    <w:p w:rsidR="00B559F0" w:rsidRPr="00B559F0" w:rsidRDefault="00B559F0" w:rsidP="00523F67">
      <w:pPr>
        <w:numPr>
          <w:ilvl w:val="0"/>
          <w:numId w:val="6"/>
        </w:numPr>
        <w:jc w:val="left"/>
      </w:pPr>
      <w:r w:rsidRPr="00B559F0">
        <w:t xml:space="preserve">sugli output risultanti dalle attività poste in essere e, per quanto possibile, </w:t>
      </w:r>
    </w:p>
    <w:p w:rsidR="00B559F0" w:rsidRPr="00B559F0" w:rsidRDefault="00B559F0" w:rsidP="00523F67">
      <w:pPr>
        <w:numPr>
          <w:ilvl w:val="0"/>
          <w:numId w:val="6"/>
        </w:numPr>
        <w:jc w:val="left"/>
      </w:pPr>
      <w:r w:rsidRPr="00B559F0">
        <w:t xml:space="preserve">sugli effetti di conseguenza prodotti sui principali portatori di interessi. </w:t>
      </w:r>
    </w:p>
    <w:p w:rsidR="003D4756" w:rsidRDefault="00B559F0" w:rsidP="00311628">
      <w:r w:rsidRPr="00B559F0">
        <w:t xml:space="preserve">Le attività sono esposte evidenziando la coerenza con le finalità dell'ente, il livello di raggiungimento degli obiettivi di gestione individuati, gli eventuali fattori risultati rilevanti per il raggiungimento (o il mancato raggiungimento) degli obiettivi programmati. </w:t>
      </w:r>
    </w:p>
    <w:p w:rsidR="0003589B" w:rsidRPr="00B559F0" w:rsidRDefault="0003589B" w:rsidP="00311628"/>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w:t>
      </w:r>
      <w:r w:rsidR="00F75E0F" w:rsidRPr="009A22DA">
        <w:rPr>
          <w:rFonts w:eastAsia="Times New Roman" w:cs="Calibri"/>
          <w:color w:val="auto"/>
          <w:szCs w:val="20"/>
        </w:rPr>
        <w:t>a Fondazione</w:t>
      </w:r>
      <w:r w:rsidRPr="009A22DA">
        <w:rPr>
          <w:rFonts w:eastAsia="Times New Roman" w:cs="Calibri"/>
          <w:color w:val="auto"/>
          <w:szCs w:val="20"/>
        </w:rPr>
        <w:t xml:space="preserve"> aiuta bambini e ragazzi amputati a gioire della bellezza della vita e a integrarsi nella società attraverso lo sport. </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w:t>
      </w:r>
      <w:r w:rsidR="00F75E0F" w:rsidRPr="009A22DA">
        <w:rPr>
          <w:rFonts w:eastAsia="Times New Roman" w:cs="Calibri"/>
          <w:color w:val="auto"/>
          <w:szCs w:val="20"/>
        </w:rPr>
        <w:t>a Fondazione</w:t>
      </w:r>
      <w:r w:rsidRPr="009A22DA">
        <w:rPr>
          <w:rFonts w:eastAsia="Times New Roman" w:cs="Calibri"/>
          <w:color w:val="auto"/>
          <w:szCs w:val="20"/>
        </w:rPr>
        <w:t xml:space="preserve"> progetta, finanzia e realizza protesi sportive e ausili per la pratica dello sport paralimpico per bambini e ragazzi con amputazioni di arto, indirizzandoli inoltre nella scelta del percorso sportivo da seguire e dei centri sportivi in cui praticare attività fisica.</w:t>
      </w:r>
    </w:p>
    <w:p w:rsidR="0003589B" w:rsidRPr="009A22DA" w:rsidRDefault="00F75E0F" w:rsidP="0003589B">
      <w:pPr>
        <w:spacing w:line="360" w:lineRule="auto"/>
        <w:rPr>
          <w:rFonts w:eastAsia="Times New Roman" w:cs="Calibri"/>
          <w:color w:val="auto"/>
          <w:szCs w:val="20"/>
        </w:rPr>
      </w:pPr>
      <w:r w:rsidRPr="009A22DA">
        <w:rPr>
          <w:rFonts w:eastAsia="Times New Roman" w:cs="Calibri"/>
          <w:color w:val="auto"/>
          <w:szCs w:val="20"/>
        </w:rPr>
        <w:t>La Fondazione</w:t>
      </w:r>
      <w:r w:rsidR="0003589B" w:rsidRPr="009A22DA">
        <w:rPr>
          <w:rFonts w:eastAsia="Times New Roman" w:cs="Calibri"/>
          <w:color w:val="auto"/>
          <w:szCs w:val="20"/>
        </w:rPr>
        <w:t xml:space="preserve"> è stata riconosciuta come Associazione Benemerita dal Comitato Italiano Paralimpico (CIP).</w:t>
      </w:r>
    </w:p>
    <w:p w:rsidR="00A02F21" w:rsidRPr="009A22DA" w:rsidRDefault="00A02F21" w:rsidP="0003589B">
      <w:pPr>
        <w:spacing w:line="360" w:lineRule="auto"/>
        <w:rPr>
          <w:rFonts w:eastAsia="Times New Roman" w:cs="Calibri"/>
          <w:b/>
          <w:bCs/>
          <w:color w:val="auto"/>
          <w:szCs w:val="20"/>
        </w:rPr>
      </w:pPr>
    </w:p>
    <w:p w:rsidR="0003589B" w:rsidRPr="009A22DA" w:rsidRDefault="0003589B" w:rsidP="0003589B">
      <w:pPr>
        <w:spacing w:line="360" w:lineRule="auto"/>
        <w:rPr>
          <w:rFonts w:eastAsia="Times New Roman" w:cs="Calibri"/>
          <w:color w:val="auto"/>
          <w:szCs w:val="20"/>
        </w:rPr>
      </w:pPr>
      <w:r w:rsidRPr="009A22DA">
        <w:rPr>
          <w:rFonts w:eastAsia="Times New Roman" w:cs="Calibri"/>
          <w:b/>
          <w:bCs/>
          <w:color w:val="auto"/>
          <w:szCs w:val="20"/>
        </w:rPr>
        <w:t>L’art4sport team</w:t>
      </w:r>
      <w:r w:rsidRPr="009A22DA">
        <w:rPr>
          <w:rFonts w:eastAsia="Times New Roman" w:cs="Calibri"/>
          <w:color w:val="auto"/>
          <w:szCs w:val="20"/>
        </w:rPr>
        <w:t xml:space="preserve"> è la squadra formata dagli atleti che l</w:t>
      </w:r>
      <w:r w:rsidR="001074A2" w:rsidRPr="009A22DA">
        <w:rPr>
          <w:rFonts w:eastAsia="Times New Roman" w:cs="Calibri"/>
          <w:color w:val="auto"/>
          <w:szCs w:val="20"/>
        </w:rPr>
        <w:t>a Fondazione</w:t>
      </w:r>
      <w:r w:rsidRPr="009A22DA">
        <w:rPr>
          <w:rFonts w:eastAsia="Times New Roman" w:cs="Calibri"/>
          <w:color w:val="auto"/>
          <w:szCs w:val="20"/>
        </w:rPr>
        <w:t xml:space="preserve"> aiuta nel raggiungimento del loro sogno sportivo. I membri dell’art4sport team sono ragazzi con disabilità, portatori di protesi di arto, che hanno chiesto di poter aderire ai progetti dell</w:t>
      </w:r>
      <w:r w:rsidR="00F75E0F" w:rsidRPr="009A22DA">
        <w:rPr>
          <w:rFonts w:eastAsia="Times New Roman" w:cs="Calibri"/>
          <w:color w:val="auto"/>
          <w:szCs w:val="20"/>
        </w:rPr>
        <w:t>a fondazione</w:t>
      </w:r>
      <w:r w:rsidRPr="009A22DA">
        <w:rPr>
          <w:rFonts w:eastAsia="Times New Roman" w:cs="Calibri"/>
          <w:color w:val="auto"/>
          <w:szCs w:val="20"/>
        </w:rPr>
        <w:t xml:space="preserve"> per poter così iniziare un percorso sportivo o per poter riprendere a praticare lo sport che facevano prima. </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Non importa quale sport scelgono o il livello “agonistico” che raggiungono, l’importante è che possano nuovamente divertirsi con altri ragazzi, e se poi arrivano anche i successi sportivi, tanto meglio!</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Nel 2025, l’art4sport team si è ampliato, passando da 49 a 51 ragazzi.</w:t>
      </w:r>
    </w:p>
    <w:p w:rsidR="00A02F21" w:rsidRPr="009A22DA" w:rsidRDefault="00A02F21" w:rsidP="0003589B">
      <w:pPr>
        <w:spacing w:line="240" w:lineRule="auto"/>
        <w:jc w:val="left"/>
        <w:rPr>
          <w:rFonts w:eastAsia="Times New Roman" w:cs="Calibri"/>
          <w:b/>
          <w:bCs/>
          <w:color w:val="auto"/>
          <w:szCs w:val="20"/>
        </w:rPr>
      </w:pPr>
    </w:p>
    <w:p w:rsidR="0003589B" w:rsidRPr="009A22DA" w:rsidRDefault="0003589B" w:rsidP="0003589B">
      <w:pPr>
        <w:spacing w:line="240" w:lineRule="auto"/>
        <w:jc w:val="left"/>
        <w:rPr>
          <w:rFonts w:eastAsia="Times New Roman" w:cs="Calibri"/>
          <w:b/>
          <w:bCs/>
          <w:color w:val="auto"/>
          <w:szCs w:val="20"/>
        </w:rPr>
      </w:pPr>
      <w:r w:rsidRPr="009A22DA">
        <w:rPr>
          <w:rFonts w:eastAsia="Times New Roman" w:cs="Calibri"/>
          <w:b/>
          <w:bCs/>
          <w:color w:val="auto"/>
          <w:szCs w:val="20"/>
        </w:rPr>
        <w:t>Protesi e ausili finanziati nel 2025</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Nel corso del 2025, l</w:t>
      </w:r>
      <w:r w:rsidR="00F75E0F" w:rsidRPr="009A22DA">
        <w:rPr>
          <w:rFonts w:eastAsia="Times New Roman" w:cs="Calibri"/>
          <w:color w:val="auto"/>
          <w:szCs w:val="20"/>
        </w:rPr>
        <w:t>a Fondazione</w:t>
      </w:r>
      <w:r w:rsidRPr="009A22DA">
        <w:rPr>
          <w:rFonts w:eastAsia="Times New Roman" w:cs="Calibri"/>
          <w:color w:val="auto"/>
          <w:szCs w:val="20"/>
        </w:rPr>
        <w:t xml:space="preserve"> ha acquistato diverse protesi e ausili sportivi per i ragazzi del team:</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ascii="Times New Roman" w:eastAsia="Times New Roman" w:hAnsi="Times New Roman"/>
          <w:color w:val="auto"/>
          <w:szCs w:val="20"/>
        </w:rPr>
        <w:t>⁠</w:t>
      </w:r>
      <w:r w:rsidRPr="009A22DA">
        <w:rPr>
          <w:rFonts w:eastAsia="Times New Roman" w:cs="Calibri"/>
          <w:color w:val="auto"/>
          <w:szCs w:val="20"/>
        </w:rPr>
        <w:t>lame da corsa;</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eastAsia="Times New Roman" w:cs="Calibri"/>
          <w:color w:val="auto"/>
          <w:szCs w:val="20"/>
        </w:rPr>
        <w:t>ginocchio da corsa;</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ascii="Times New Roman" w:eastAsia="Times New Roman" w:hAnsi="Times New Roman"/>
          <w:color w:val="auto"/>
          <w:szCs w:val="20"/>
        </w:rPr>
        <w:t>⁠</w:t>
      </w:r>
      <w:r w:rsidRPr="009A22DA">
        <w:rPr>
          <w:rFonts w:eastAsia="Times New Roman" w:cs="Calibri"/>
          <w:color w:val="auto"/>
          <w:szCs w:val="20"/>
        </w:rPr>
        <w:t>invaso seal-in;</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ascii="Times New Roman" w:eastAsia="Times New Roman" w:hAnsi="Times New Roman"/>
          <w:color w:val="auto"/>
          <w:szCs w:val="20"/>
        </w:rPr>
        <w:t>⁠</w:t>
      </w:r>
      <w:r w:rsidRPr="009A22DA">
        <w:rPr>
          <w:rFonts w:eastAsia="Times New Roman" w:cs="Calibri"/>
          <w:color w:val="auto"/>
          <w:szCs w:val="20"/>
        </w:rPr>
        <w:t>invasi per protesi d’arto inferiore;</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ascii="Times New Roman" w:eastAsia="Times New Roman" w:hAnsi="Times New Roman"/>
          <w:color w:val="auto"/>
          <w:szCs w:val="20"/>
        </w:rPr>
        <w:t>⁠</w:t>
      </w:r>
      <w:r w:rsidRPr="009A22DA">
        <w:rPr>
          <w:rFonts w:eastAsia="Times New Roman" w:cs="Calibri"/>
          <w:color w:val="auto"/>
          <w:szCs w:val="20"/>
        </w:rPr>
        <w:t>invasi per lama da corsa;</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ascii="Times New Roman" w:eastAsia="Times New Roman" w:hAnsi="Times New Roman"/>
          <w:color w:val="auto"/>
          <w:szCs w:val="20"/>
        </w:rPr>
        <w:t>⁠</w:t>
      </w:r>
      <w:r w:rsidRPr="009A22DA">
        <w:rPr>
          <w:rFonts w:eastAsia="Times New Roman" w:cs="Calibri"/>
          <w:color w:val="auto"/>
          <w:szCs w:val="20"/>
        </w:rPr>
        <w:t>invaso transradiale per protesi sportiva (sci)</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eastAsia="Times New Roman" w:cs="Calibri"/>
          <w:color w:val="auto"/>
          <w:szCs w:val="20"/>
        </w:rPr>
        <w:t>protesi sportiva da sci completa di lamina di carbonio</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eastAsia="Times New Roman" w:cs="Calibri"/>
          <w:color w:val="auto"/>
          <w:szCs w:val="20"/>
        </w:rPr>
        <w:t>invaso transradiale per protesi sportiva (atletica)</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eastAsia="Times New Roman" w:cs="Calibri"/>
          <w:color w:val="auto"/>
          <w:szCs w:val="20"/>
        </w:rPr>
        <w:t xml:space="preserve">attacco ice clock 721 per protesi transradiale </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ascii="Times New Roman" w:eastAsia="Times New Roman" w:hAnsi="Times New Roman"/>
          <w:color w:val="auto"/>
          <w:szCs w:val="20"/>
        </w:rPr>
        <w:t>⁠</w:t>
      </w:r>
      <w:r w:rsidRPr="009A22DA">
        <w:rPr>
          <w:rFonts w:eastAsia="Times New Roman" w:cs="Calibri"/>
          <w:color w:val="auto"/>
          <w:szCs w:val="20"/>
        </w:rPr>
        <w:t>protesi sportiva transradiale per palestra iron lite e cuffia</w:t>
      </w:r>
    </w:p>
    <w:p w:rsidR="0003589B" w:rsidRPr="009A22DA" w:rsidRDefault="0003589B" w:rsidP="00523F67">
      <w:pPr>
        <w:numPr>
          <w:ilvl w:val="0"/>
          <w:numId w:val="17"/>
        </w:numPr>
        <w:spacing w:line="360" w:lineRule="auto"/>
        <w:contextualSpacing/>
        <w:rPr>
          <w:rFonts w:eastAsia="Times New Roman" w:cs="Calibri"/>
          <w:color w:val="auto"/>
          <w:szCs w:val="20"/>
        </w:rPr>
      </w:pPr>
      <w:r w:rsidRPr="009A22DA">
        <w:rPr>
          <w:rFonts w:eastAsia="Times New Roman" w:cs="Calibri"/>
          <w:color w:val="auto"/>
          <w:szCs w:val="20"/>
        </w:rPr>
        <w:t xml:space="preserve">protesi transtibiale esoscheletrica per nuoto </w:t>
      </w:r>
    </w:p>
    <w:p w:rsidR="00F75E0F"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w:t>
      </w:r>
      <w:r w:rsidR="00F75E0F" w:rsidRPr="009A22DA">
        <w:rPr>
          <w:rFonts w:eastAsia="Times New Roman" w:cs="Calibri"/>
          <w:color w:val="auto"/>
          <w:szCs w:val="20"/>
        </w:rPr>
        <w:t>a Fondazione</w:t>
      </w:r>
      <w:r w:rsidRPr="009A22DA">
        <w:rPr>
          <w:rFonts w:eastAsia="Times New Roman" w:cs="Calibri"/>
          <w:color w:val="auto"/>
          <w:szCs w:val="20"/>
        </w:rPr>
        <w:t>, inoltre, organizza numerosi eventi durante l’anno, coinvolgendo i ragazzi dell’art4sport team, le loro famiglie e i vari sponsor che supportano i progetti dell</w:t>
      </w:r>
      <w:r w:rsidR="00F75E0F" w:rsidRPr="009A22DA">
        <w:rPr>
          <w:rFonts w:eastAsia="Times New Roman" w:cs="Calibri"/>
          <w:color w:val="auto"/>
          <w:szCs w:val="20"/>
        </w:rPr>
        <w:t>a Fondazione stessa.</w:t>
      </w:r>
    </w:p>
    <w:p w:rsidR="00A02F21" w:rsidRPr="009A22DA" w:rsidRDefault="00A02F21" w:rsidP="0003589B">
      <w:pPr>
        <w:spacing w:line="360" w:lineRule="auto"/>
        <w:rPr>
          <w:rFonts w:eastAsia="Times New Roman" w:cs="Calibri"/>
          <w:b/>
          <w:bCs/>
          <w:color w:val="auto"/>
          <w:szCs w:val="20"/>
        </w:rPr>
      </w:pPr>
    </w:p>
    <w:p w:rsidR="0003589B" w:rsidRPr="009A22DA" w:rsidRDefault="0003589B" w:rsidP="0003589B">
      <w:pPr>
        <w:spacing w:line="360" w:lineRule="auto"/>
        <w:rPr>
          <w:rFonts w:eastAsia="Times New Roman" w:cs="Calibri"/>
          <w:b/>
          <w:bCs/>
          <w:color w:val="auto"/>
          <w:szCs w:val="20"/>
        </w:rPr>
      </w:pPr>
      <w:r w:rsidRPr="009A22DA">
        <w:rPr>
          <w:rFonts w:eastAsia="Times New Roman" w:cs="Calibri"/>
          <w:b/>
          <w:bCs/>
          <w:color w:val="auto"/>
          <w:szCs w:val="20"/>
        </w:rPr>
        <w:t>Eventi realizzati nel 2025</w:t>
      </w:r>
    </w:p>
    <w:p w:rsidR="0003589B" w:rsidRPr="009A22DA" w:rsidRDefault="0003589B" w:rsidP="0003589B">
      <w:pPr>
        <w:spacing w:line="360" w:lineRule="auto"/>
        <w:rPr>
          <w:rFonts w:eastAsia="Times New Roman" w:cs="Calibri"/>
          <w:b/>
          <w:bCs/>
          <w:color w:val="auto"/>
          <w:szCs w:val="20"/>
        </w:rPr>
      </w:pPr>
      <w:r w:rsidRPr="009A22DA">
        <w:rPr>
          <w:rFonts w:eastAsia="Times New Roman" w:cs="Calibri"/>
          <w:b/>
          <w:bCs/>
          <w:color w:val="auto"/>
          <w:szCs w:val="20"/>
        </w:rPr>
        <w:t>1. WEmbrace Awards</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I WEmbrace Awards, Charity Gala Dinner a favore di art4sport, si sono svolti il 27 marzo 2025 presso la Fabbrica del Vapore di Milano. Una serata dedicata ad aziende, media partner, amici e sostenitori dell</w:t>
      </w:r>
      <w:r w:rsidR="00F75E0F" w:rsidRPr="009A22DA">
        <w:rPr>
          <w:rFonts w:eastAsia="Times New Roman" w:cs="Calibri"/>
          <w:color w:val="auto"/>
          <w:szCs w:val="20"/>
        </w:rPr>
        <w:t>a Fondazione</w:t>
      </w:r>
      <w:r w:rsidRPr="009A22DA">
        <w:rPr>
          <w:rFonts w:eastAsia="Times New Roman" w:cs="Calibri"/>
          <w:color w:val="auto"/>
          <w:szCs w:val="20"/>
        </w:rPr>
        <w:t>, nata per raccontare e celebrare storie autentiche e profonde capaci di ispirare le persone e le nuove generazioni.</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I WEmbrace Awards rappresentano un riconoscimento annuale dedicato a persone, associazioni, organizzazioni e imprese che promuovono accoglienza, dialogo, inclusione e connessione umana, contribuendo a costruire una società più aperta e partecipativa. I protagonisti della serata sono i “WEmbracer”: individui e realtà capaci di trasformare valori e idee in azioni concrete, generando un impatto positivo e diventando esempi di collaborazione e cambiamento.</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Il tema della terza edizione, “TOGETHER OR NOTHING”, celebra il potere della collaborazione come motore di cambiamento. L’unione di competenze, idee e visioni condivise rappresenta la chiave per generare innovazione e promuovere una trasformazione sociale concreta e duratura.</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Grazie a un Osservatorio composto da professionisti della comunicazione, amici di art4sport, sono state individuate oltre 100 storie. Tra queste, 20 sono state selezionate per la loro capacità di ispirare e sottoposte alla Giuria degli Awards.</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L’edizione 2025 ha raccontato il valore dell’unione attraverso quattro aree tematiche:</w:t>
      </w:r>
    </w:p>
    <w:p w:rsidR="0003589B" w:rsidRPr="009A22DA" w:rsidRDefault="0003589B" w:rsidP="00523F67">
      <w:pPr>
        <w:numPr>
          <w:ilvl w:val="0"/>
          <w:numId w:val="20"/>
        </w:numPr>
        <w:spacing w:line="360" w:lineRule="auto"/>
        <w:contextualSpacing/>
        <w:rPr>
          <w:rFonts w:eastAsia="Times New Roman" w:cs="Calibri"/>
          <w:color w:val="auto"/>
          <w:szCs w:val="20"/>
        </w:rPr>
      </w:pPr>
      <w:r w:rsidRPr="009A22DA">
        <w:rPr>
          <w:rFonts w:eastAsia="Times New Roman" w:cs="Calibri"/>
          <w:color w:val="auto"/>
          <w:szCs w:val="20"/>
        </w:rPr>
        <w:t xml:space="preserve">Action: storie di impegno concreto che dimostrano come il cambiamento nasca dall’agire insieme; </w:t>
      </w:r>
    </w:p>
    <w:p w:rsidR="0003589B" w:rsidRPr="009A22DA" w:rsidRDefault="0003589B" w:rsidP="00523F67">
      <w:pPr>
        <w:numPr>
          <w:ilvl w:val="0"/>
          <w:numId w:val="20"/>
        </w:numPr>
        <w:spacing w:line="360" w:lineRule="auto"/>
        <w:contextualSpacing/>
        <w:rPr>
          <w:rFonts w:eastAsia="Times New Roman" w:cs="Calibri"/>
          <w:color w:val="auto"/>
          <w:szCs w:val="20"/>
        </w:rPr>
      </w:pPr>
      <w:r w:rsidRPr="009A22DA">
        <w:rPr>
          <w:rFonts w:eastAsia="Times New Roman" w:cs="Calibri"/>
          <w:color w:val="auto"/>
          <w:szCs w:val="20"/>
        </w:rPr>
        <w:t xml:space="preserve">The World: iniziative globali che promuovono inclusione e connessione oltre ogni confine; </w:t>
      </w:r>
    </w:p>
    <w:p w:rsidR="0003589B" w:rsidRPr="009A22DA" w:rsidRDefault="0003589B" w:rsidP="00523F67">
      <w:pPr>
        <w:numPr>
          <w:ilvl w:val="0"/>
          <w:numId w:val="20"/>
        </w:numPr>
        <w:spacing w:line="360" w:lineRule="auto"/>
        <w:contextualSpacing/>
        <w:rPr>
          <w:rFonts w:eastAsia="Times New Roman" w:cs="Calibri"/>
          <w:color w:val="auto"/>
          <w:szCs w:val="20"/>
        </w:rPr>
      </w:pPr>
      <w:r w:rsidRPr="009A22DA">
        <w:rPr>
          <w:rFonts w:eastAsia="Times New Roman" w:cs="Calibri"/>
          <w:color w:val="auto"/>
          <w:szCs w:val="20"/>
        </w:rPr>
        <w:t xml:space="preserve">Creativity: progetti che utilizzano immaginazione e innovazione per creare nuove possibilità; </w:t>
      </w:r>
    </w:p>
    <w:p w:rsidR="0003589B" w:rsidRPr="009A22DA" w:rsidRDefault="0003589B" w:rsidP="00523F67">
      <w:pPr>
        <w:numPr>
          <w:ilvl w:val="0"/>
          <w:numId w:val="20"/>
        </w:numPr>
        <w:spacing w:line="360" w:lineRule="auto"/>
        <w:contextualSpacing/>
        <w:rPr>
          <w:rFonts w:eastAsia="Times New Roman" w:cs="Calibri"/>
          <w:color w:val="auto"/>
          <w:szCs w:val="20"/>
        </w:rPr>
      </w:pPr>
      <w:r w:rsidRPr="009A22DA">
        <w:rPr>
          <w:rFonts w:eastAsia="Times New Roman" w:cs="Calibri"/>
          <w:color w:val="auto"/>
          <w:szCs w:val="20"/>
        </w:rPr>
        <w:t xml:space="preserve">Opportunity: percorsi che trasformano le difficoltà in nuove occasioni di crescita. </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I WEmbrace Awards fanno parte del movimento WEmbrace (“Noi abbracciamo”), promosso da art4sport per valorizzare le diversità e costruire connessioni capaci di generare impatto positivo e duraturo.</w:t>
      </w:r>
    </w:p>
    <w:p w:rsidR="00A02F21" w:rsidRPr="009A22DA" w:rsidRDefault="00A02F21" w:rsidP="0003589B">
      <w:pPr>
        <w:spacing w:line="360" w:lineRule="auto"/>
        <w:rPr>
          <w:rFonts w:eastAsia="Times New Roman" w:cs="Calibri"/>
          <w:b/>
          <w:bCs/>
          <w:color w:val="auto"/>
          <w:szCs w:val="20"/>
        </w:rPr>
      </w:pPr>
    </w:p>
    <w:p w:rsidR="0003589B" w:rsidRPr="009A22DA" w:rsidRDefault="0003589B" w:rsidP="0003589B">
      <w:pPr>
        <w:spacing w:line="360" w:lineRule="auto"/>
        <w:rPr>
          <w:rFonts w:eastAsia="Times New Roman" w:cs="Calibri"/>
          <w:b/>
          <w:bCs/>
          <w:color w:val="auto"/>
          <w:szCs w:val="20"/>
        </w:rPr>
      </w:pPr>
      <w:r w:rsidRPr="009A22DA">
        <w:rPr>
          <w:rFonts w:eastAsia="Times New Roman" w:cs="Calibri"/>
          <w:b/>
          <w:bCs/>
          <w:color w:val="auto"/>
          <w:szCs w:val="20"/>
        </w:rPr>
        <w:t>2. WEmbrace Games</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Il 12 giugno 2025, allo Stadio dei Marmi di Roma, si è svolta la tredicesima edizione dei WEmbrace Games, la manifestazione benefica organizzata dall</w:t>
      </w:r>
      <w:r w:rsidR="00F75E0F" w:rsidRPr="009A22DA">
        <w:rPr>
          <w:rFonts w:eastAsia="Times New Roman" w:cs="Calibri"/>
          <w:color w:val="auto"/>
          <w:szCs w:val="20"/>
        </w:rPr>
        <w:t>a Fondazione</w:t>
      </w:r>
      <w:r w:rsidRPr="009A22DA">
        <w:rPr>
          <w:rFonts w:eastAsia="Times New Roman" w:cs="Calibri"/>
          <w:color w:val="auto"/>
          <w:szCs w:val="20"/>
        </w:rPr>
        <w:t xml:space="preserve"> art4sport che celebra inclusione, sport e condivisione.</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Il tema dell’edizione 2025, “Space Games Edition”, ha trasformato lo Stadio dei Marmi in una “galassia dell’inclusione”, invitando tutti a superare i propri limiti e immaginare nuove possibilità.</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L’evento ha visto la partecipazione di otto squadre provenienti da tutta Italia e rappresentative dei partner: Napoli, Bologna, Bebe Vio Academy Roma, Genova, Bari, Milano, Firenze e Tokyo. Le squadre, composte da adulti e bambini con e senza disabilità, sono state affiancate da ospiti del mondo dello sport e dello spettacolo.</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Le sfide si sono articolate in tre giochi:</w:t>
      </w:r>
    </w:p>
    <w:p w:rsidR="0003589B" w:rsidRPr="009A22DA" w:rsidRDefault="0003589B" w:rsidP="00523F67">
      <w:pPr>
        <w:numPr>
          <w:ilvl w:val="0"/>
          <w:numId w:val="19"/>
        </w:numPr>
        <w:spacing w:line="360" w:lineRule="auto"/>
        <w:contextualSpacing/>
        <w:rPr>
          <w:rFonts w:eastAsia="Times New Roman" w:cs="Calibri"/>
          <w:color w:val="auto"/>
          <w:szCs w:val="20"/>
        </w:rPr>
      </w:pPr>
      <w:r w:rsidRPr="009A22DA">
        <w:rPr>
          <w:rFonts w:eastAsia="Times New Roman" w:cs="Calibri"/>
          <w:color w:val="auto"/>
          <w:szCs w:val="20"/>
        </w:rPr>
        <w:t xml:space="preserve">“Space Invaders” </w:t>
      </w:r>
    </w:p>
    <w:p w:rsidR="0003589B" w:rsidRPr="009A22DA" w:rsidRDefault="0003589B" w:rsidP="00523F67">
      <w:pPr>
        <w:numPr>
          <w:ilvl w:val="0"/>
          <w:numId w:val="19"/>
        </w:numPr>
        <w:spacing w:line="360" w:lineRule="auto"/>
        <w:contextualSpacing/>
        <w:rPr>
          <w:rFonts w:eastAsia="Times New Roman" w:cs="Calibri"/>
          <w:color w:val="auto"/>
          <w:szCs w:val="20"/>
        </w:rPr>
      </w:pPr>
      <w:r w:rsidRPr="009A22DA">
        <w:rPr>
          <w:rFonts w:eastAsia="Times New Roman" w:cs="Calibri"/>
          <w:color w:val="auto"/>
          <w:szCs w:val="20"/>
        </w:rPr>
        <w:t xml:space="preserve">“Assembla e Decolla” </w:t>
      </w:r>
    </w:p>
    <w:p w:rsidR="0003589B" w:rsidRPr="009A22DA" w:rsidRDefault="0003589B" w:rsidP="00523F67">
      <w:pPr>
        <w:numPr>
          <w:ilvl w:val="0"/>
          <w:numId w:val="19"/>
        </w:numPr>
        <w:spacing w:line="360" w:lineRule="auto"/>
        <w:contextualSpacing/>
        <w:rPr>
          <w:rFonts w:eastAsia="Times New Roman" w:cs="Calibri"/>
          <w:color w:val="auto"/>
          <w:szCs w:val="20"/>
        </w:rPr>
      </w:pPr>
      <w:r w:rsidRPr="009A22DA">
        <w:rPr>
          <w:rFonts w:eastAsia="Times New Roman" w:cs="Calibri"/>
          <w:color w:val="auto"/>
          <w:szCs w:val="20"/>
        </w:rPr>
        <w:t xml:space="preserve">“Componi la Galassia” </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La serata, condotta da Giorgio Maria Daviddi e Furio Corsetti del Trio Medusa con gli inviati di Radio Deejay, ha visto la partecipazione di numerosi ospiti che hanno contribuito a diffondere il valore dell’inclusione attraverso lo sport. I WEmbrace Games rappresentano un momento simbolico in cui lo sport diventa strumento di incontro, crescita e partecipazione, in cui le differenze si trasformano in risorsa.</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Dal 2022 l’evento è entrato a far parte del movimento WEmbrace, promosso da art4sport per valorizzare la diversità attraverso esperienze condivise.</w:t>
      </w:r>
    </w:p>
    <w:p w:rsidR="00A02F21" w:rsidRPr="009A22DA" w:rsidRDefault="00A02F21" w:rsidP="0003589B">
      <w:pPr>
        <w:spacing w:line="360" w:lineRule="auto"/>
        <w:rPr>
          <w:rFonts w:eastAsia="Times New Roman" w:cs="Calibri"/>
          <w:b/>
          <w:bCs/>
          <w:color w:val="auto"/>
          <w:szCs w:val="20"/>
        </w:rPr>
      </w:pPr>
    </w:p>
    <w:p w:rsidR="0003589B" w:rsidRPr="009A22DA" w:rsidRDefault="0003589B" w:rsidP="0003589B">
      <w:pPr>
        <w:spacing w:line="360" w:lineRule="auto"/>
        <w:rPr>
          <w:rFonts w:eastAsia="Times New Roman" w:cs="Calibri"/>
          <w:b/>
          <w:bCs/>
          <w:color w:val="auto"/>
          <w:szCs w:val="20"/>
        </w:rPr>
      </w:pPr>
      <w:r w:rsidRPr="009A22DA">
        <w:rPr>
          <w:rFonts w:eastAsia="Times New Roman" w:cs="Calibri"/>
          <w:b/>
          <w:bCs/>
          <w:color w:val="auto"/>
          <w:szCs w:val="20"/>
        </w:rPr>
        <w:t>3. Compleanno dell</w:t>
      </w:r>
      <w:r w:rsidR="00F75E0F" w:rsidRPr="009A22DA">
        <w:rPr>
          <w:rFonts w:eastAsia="Times New Roman" w:cs="Calibri"/>
          <w:b/>
          <w:bCs/>
          <w:color w:val="auto"/>
          <w:szCs w:val="20"/>
        </w:rPr>
        <w:t>a Fondazione</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 xml:space="preserve">Ogni anno </w:t>
      </w:r>
      <w:r w:rsidR="00F75E0F" w:rsidRPr="009A22DA">
        <w:rPr>
          <w:rFonts w:eastAsia="Times New Roman" w:cs="Calibri"/>
          <w:color w:val="auto"/>
          <w:szCs w:val="20"/>
        </w:rPr>
        <w:t>la Fondazione</w:t>
      </w:r>
      <w:r w:rsidR="00A02F21" w:rsidRPr="009A22DA">
        <w:rPr>
          <w:rFonts w:eastAsia="Times New Roman" w:cs="Calibri"/>
          <w:color w:val="auto"/>
          <w:szCs w:val="20"/>
        </w:rPr>
        <w:t xml:space="preserve"> </w:t>
      </w:r>
      <w:r w:rsidRPr="009A22DA">
        <w:rPr>
          <w:rFonts w:eastAsia="Times New Roman" w:cs="Calibri"/>
          <w:color w:val="auto"/>
          <w:szCs w:val="20"/>
        </w:rPr>
        <w:t>celebra il proprio anniversario con un momento dedicato ad atleti, famiglie, staff e partner. Per il sedicesimo compleanno (2025), la celebrazione è stata spostata a gennaio 2026 per ragioni organizzative legate alla neve e si è svolta nell’ambito di WEmbrace Snow 2026 a Sestriere (TO).</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La grande famiglia art4sport si è ritrovata per vivere alcuni giorni di sport, inclusione e condivisione sulla neve, in un’esperienza pensata per avvicinare i ragazzi agli sport invernali in un contesto accessibile e inclusivo.</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Attività svolte:</w:t>
      </w:r>
    </w:p>
    <w:p w:rsidR="0003589B" w:rsidRPr="009A22DA" w:rsidRDefault="0003589B" w:rsidP="00523F67">
      <w:pPr>
        <w:numPr>
          <w:ilvl w:val="0"/>
          <w:numId w:val="18"/>
        </w:numPr>
        <w:spacing w:line="360" w:lineRule="auto"/>
        <w:contextualSpacing/>
        <w:rPr>
          <w:rFonts w:eastAsia="Times New Roman" w:cs="Calibri"/>
          <w:color w:val="auto"/>
          <w:szCs w:val="20"/>
        </w:rPr>
      </w:pPr>
      <w:r w:rsidRPr="009A22DA">
        <w:rPr>
          <w:rFonts w:eastAsia="Times New Roman" w:cs="Calibri"/>
          <w:color w:val="auto"/>
          <w:szCs w:val="20"/>
        </w:rPr>
        <w:t xml:space="preserve">lezioni di sci con maestri specializzati; </w:t>
      </w:r>
    </w:p>
    <w:p w:rsidR="0003589B" w:rsidRPr="009A22DA" w:rsidRDefault="0003589B" w:rsidP="00523F67">
      <w:pPr>
        <w:numPr>
          <w:ilvl w:val="0"/>
          <w:numId w:val="18"/>
        </w:numPr>
        <w:spacing w:line="360" w:lineRule="auto"/>
        <w:contextualSpacing/>
        <w:rPr>
          <w:rFonts w:eastAsia="Times New Roman" w:cs="Calibri"/>
          <w:color w:val="auto"/>
          <w:szCs w:val="20"/>
        </w:rPr>
      </w:pPr>
      <w:r w:rsidRPr="009A22DA">
        <w:rPr>
          <w:rFonts w:eastAsia="Times New Roman" w:cs="Calibri"/>
          <w:color w:val="auto"/>
          <w:szCs w:val="20"/>
        </w:rPr>
        <w:t xml:space="preserve">attività sportive e ricreative sulla neve; </w:t>
      </w:r>
    </w:p>
    <w:p w:rsidR="0003589B" w:rsidRPr="009A22DA" w:rsidRDefault="0003589B" w:rsidP="00523F67">
      <w:pPr>
        <w:numPr>
          <w:ilvl w:val="0"/>
          <w:numId w:val="18"/>
        </w:numPr>
        <w:spacing w:line="360" w:lineRule="auto"/>
        <w:contextualSpacing/>
        <w:rPr>
          <w:rFonts w:eastAsia="Times New Roman" w:cs="Calibri"/>
          <w:color w:val="auto"/>
          <w:szCs w:val="20"/>
        </w:rPr>
      </w:pPr>
      <w:r w:rsidRPr="009A22DA">
        <w:rPr>
          <w:rFonts w:eastAsia="Times New Roman" w:cs="Calibri"/>
          <w:color w:val="auto"/>
          <w:szCs w:val="20"/>
        </w:rPr>
        <w:t xml:space="preserve">momenti di condivisione tra atleti, famiglie, staff e partner; </w:t>
      </w:r>
    </w:p>
    <w:p w:rsidR="0003589B" w:rsidRPr="009A22DA" w:rsidRDefault="0003589B" w:rsidP="00523F67">
      <w:pPr>
        <w:numPr>
          <w:ilvl w:val="0"/>
          <w:numId w:val="18"/>
        </w:numPr>
        <w:spacing w:line="360" w:lineRule="auto"/>
        <w:contextualSpacing/>
        <w:rPr>
          <w:rFonts w:eastAsia="Times New Roman" w:cs="Calibri"/>
          <w:color w:val="auto"/>
          <w:szCs w:val="20"/>
        </w:rPr>
      </w:pPr>
      <w:r w:rsidRPr="009A22DA">
        <w:rPr>
          <w:rFonts w:eastAsia="Times New Roman" w:cs="Calibri"/>
          <w:color w:val="auto"/>
          <w:szCs w:val="20"/>
        </w:rPr>
        <w:t xml:space="preserve">Trofeo WEmbrace Snow; </w:t>
      </w:r>
    </w:p>
    <w:p w:rsidR="0003589B" w:rsidRPr="009A22DA" w:rsidRDefault="0003589B" w:rsidP="00523F67">
      <w:pPr>
        <w:numPr>
          <w:ilvl w:val="0"/>
          <w:numId w:val="18"/>
        </w:numPr>
        <w:spacing w:line="360" w:lineRule="auto"/>
        <w:contextualSpacing/>
        <w:rPr>
          <w:rFonts w:eastAsia="Times New Roman" w:cs="Calibri"/>
          <w:color w:val="auto"/>
          <w:szCs w:val="20"/>
        </w:rPr>
      </w:pPr>
      <w:r w:rsidRPr="009A22DA">
        <w:rPr>
          <w:rFonts w:eastAsia="Times New Roman" w:cs="Calibri"/>
          <w:color w:val="auto"/>
          <w:szCs w:val="20"/>
        </w:rPr>
        <w:t>celebrazione del sedicesimo compleanno dell</w:t>
      </w:r>
      <w:r w:rsidR="00F75E0F" w:rsidRPr="009A22DA">
        <w:rPr>
          <w:rFonts w:eastAsia="Times New Roman" w:cs="Calibri"/>
          <w:color w:val="auto"/>
          <w:szCs w:val="20"/>
        </w:rPr>
        <w:t>a Fondazione.</w:t>
      </w:r>
      <w:r w:rsidRPr="009A22DA">
        <w:rPr>
          <w:rFonts w:eastAsia="Times New Roman" w:cs="Calibri"/>
          <w:color w:val="auto"/>
          <w:szCs w:val="20"/>
        </w:rPr>
        <w:t xml:space="preserve"> </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L’esperienza ha rappresentato un’importante occasione per promuovere il turismo accessibile, valorizzare lo sport paralimpico invernale e rafforzare il senso di comunità.</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WEmbrace Snow è un momento di crescita e relazione che permette a tutti i partecipanti di vivere il valore dell’inclusione attraverso lo sport.</w:t>
      </w:r>
    </w:p>
    <w:p w:rsidR="00A02F21" w:rsidRPr="009A22DA" w:rsidRDefault="00A02F21" w:rsidP="0003589B">
      <w:pPr>
        <w:spacing w:line="360" w:lineRule="auto"/>
        <w:rPr>
          <w:rFonts w:eastAsia="Times New Roman" w:cs="Calibri"/>
          <w:b/>
          <w:bCs/>
          <w:color w:val="auto"/>
          <w:szCs w:val="20"/>
        </w:rPr>
      </w:pPr>
    </w:p>
    <w:p w:rsidR="0003589B" w:rsidRPr="009A22DA" w:rsidRDefault="0003589B" w:rsidP="0003589B">
      <w:pPr>
        <w:spacing w:line="360" w:lineRule="auto"/>
        <w:rPr>
          <w:rFonts w:eastAsia="Times New Roman" w:cs="Calibri"/>
          <w:b/>
          <w:bCs/>
          <w:color w:val="auto"/>
          <w:szCs w:val="20"/>
        </w:rPr>
      </w:pPr>
      <w:r w:rsidRPr="009A22DA">
        <w:rPr>
          <w:rFonts w:eastAsia="Times New Roman" w:cs="Calibri"/>
          <w:b/>
          <w:bCs/>
          <w:color w:val="auto"/>
          <w:szCs w:val="20"/>
        </w:rPr>
        <w:t>4. Bebe Vio Academy</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La Bebe Vio Academy è un progetto organizzato e gestito dall</w:t>
      </w:r>
      <w:r w:rsidR="00F75E0F" w:rsidRPr="009A22DA">
        <w:rPr>
          <w:rFonts w:eastAsia="Times New Roman" w:cs="Calibri"/>
          <w:color w:val="auto"/>
          <w:szCs w:val="20"/>
        </w:rPr>
        <w:t>a Fondazione</w:t>
      </w:r>
      <w:r w:rsidRPr="009A22DA">
        <w:rPr>
          <w:rFonts w:eastAsia="Times New Roman" w:cs="Calibri"/>
          <w:color w:val="auto"/>
          <w:szCs w:val="20"/>
        </w:rPr>
        <w:t xml:space="preserve"> in partnership con Nike.</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Si tratta di un programma inclusivo che ha come obiettivo la promozione dello sport paralimpico ed è incentrato sulla visione di Bebe: rendere lo sport accessibile per tutti. I bambini con e senza disabilità fisiche che aderiscono al progetto hanno la possibilità, per un anno, di sperimentare sei diverse discipline sportive paralimpiche: scherma in carrozzina, sitting volley, basket in carrozzina, atletica paralimpica, calcio integrato, tennis in carrozzina (Milano) e rugby in carrozzina (Roma).</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La Bebe Vio Academy, nel 2025 ha visto il coinvolgimento di circa 100 ragazzi fra i 6 e i 18 anni (con e senza disabilità) nelle sedi di Roma e Milano. Le attività di entrambe le sedi si sono svolte fino a maggio 2026, con due allenamenti settimanali (Roma: martedì e giovedì 17-18, Milano: martedì 15-17 e giovedì 17–19).</w:t>
      </w:r>
    </w:p>
    <w:p w:rsidR="0003589B" w:rsidRPr="009A22DA" w:rsidRDefault="0003589B" w:rsidP="0003589B">
      <w:pPr>
        <w:spacing w:line="360" w:lineRule="auto"/>
        <w:rPr>
          <w:rFonts w:eastAsia="Times New Roman" w:cs="Calibri"/>
          <w:color w:val="auto"/>
          <w:szCs w:val="20"/>
        </w:rPr>
      </w:pPr>
      <w:r w:rsidRPr="009A22DA">
        <w:rPr>
          <w:rFonts w:eastAsia="Times New Roman" w:cs="Calibri"/>
          <w:color w:val="auto"/>
          <w:szCs w:val="20"/>
        </w:rPr>
        <w:t>Le sessioni hanno incluso allenatori, volontari, materiale tecnico e ausili sportivi, tutto fornito gratuitamente da Art4sport, così come l’iscrizione per la partecipazione dei ragazzi.</w:t>
      </w:r>
    </w:p>
    <w:p w:rsidR="003D4756" w:rsidRPr="0003589B" w:rsidRDefault="00B559F0" w:rsidP="00311628">
      <w:pPr>
        <w:rPr>
          <w:szCs w:val="20"/>
        </w:rPr>
      </w:pPr>
      <w:r w:rsidRPr="009A22DA">
        <w:rPr>
          <w:szCs w:val="20"/>
        </w:rPr>
        <w:t>Non si ravvisano elementi e/o fattori che possano compromettere il raggiungimento dei fini istituzionali.</w:t>
      </w:r>
      <w:r w:rsidRPr="0003589B">
        <w:rPr>
          <w:szCs w:val="20"/>
        </w:rPr>
        <w:t xml:space="preserve"> </w:t>
      </w:r>
    </w:p>
    <w:p w:rsidR="003D4756" w:rsidRPr="005B5701" w:rsidRDefault="0057403D" w:rsidP="003D4756">
      <w:pPr>
        <w:pStyle w:val="Titolo1"/>
        <w:rPr>
          <w:color w:val="000099"/>
        </w:rPr>
      </w:pPr>
      <w:r w:rsidRPr="005B5701">
        <w:rPr>
          <w:color w:val="000099"/>
        </w:rPr>
        <w:t>Situazione economic</w:t>
      </w:r>
      <w:r w:rsidR="005B5701">
        <w:rPr>
          <w:color w:val="000099"/>
        </w:rPr>
        <w:t xml:space="preserve">a, </w:t>
      </w:r>
      <w:r w:rsidRPr="005B5701">
        <w:rPr>
          <w:color w:val="000099"/>
        </w:rPr>
        <w:t>finanziaria</w:t>
      </w:r>
      <w:r w:rsidR="005B5701">
        <w:rPr>
          <w:color w:val="000099"/>
        </w:rPr>
        <w:t xml:space="preserve"> e patrimoniale</w:t>
      </w:r>
    </w:p>
    <w:p w:rsidR="00902E07" w:rsidRDefault="00B559F0" w:rsidP="00902E07">
      <w:r w:rsidRPr="00B559F0">
        <w:t xml:space="preserve">Le risorse economiche dell'ente sono costituite </w:t>
      </w:r>
      <w:r w:rsidR="00902E07">
        <w:t>esclusivamente da donazioni e/o erogazioni liberali e dai proventi del 5x1000</w:t>
      </w:r>
      <w:r w:rsidR="005B5701">
        <w:t>.</w:t>
      </w:r>
    </w:p>
    <w:p w:rsidR="00902E07" w:rsidRDefault="00902E07" w:rsidP="00902E07">
      <w:r>
        <w:t>In particolare:</w:t>
      </w:r>
    </w:p>
    <w:p w:rsidR="00902E07" w:rsidRDefault="00A02F21" w:rsidP="00902E07">
      <w:pPr>
        <w:numPr>
          <w:ilvl w:val="0"/>
          <w:numId w:val="23"/>
        </w:numPr>
      </w:pPr>
      <w:r>
        <w:t>D</w:t>
      </w:r>
      <w:r w:rsidR="00902E07">
        <w:t>onazioni 2025 Euro 492.000</w:t>
      </w:r>
      <w:r>
        <w:t>;</w:t>
      </w:r>
    </w:p>
    <w:p w:rsidR="00902E07" w:rsidRDefault="00902E07" w:rsidP="00902E07">
      <w:pPr>
        <w:numPr>
          <w:ilvl w:val="0"/>
          <w:numId w:val="23"/>
        </w:numPr>
      </w:pPr>
      <w:r>
        <w:t>5x1000 Euro 43.958</w:t>
      </w:r>
      <w:r w:rsidR="00A02F21">
        <w:t>.</w:t>
      </w:r>
    </w:p>
    <w:p w:rsidR="00902E07" w:rsidRPr="00B559F0" w:rsidRDefault="00902E07" w:rsidP="00902E07">
      <w:r>
        <w:t>Si precisa che la Fondazione percepisce complessivamente Euro 12.000 come canoni di affitto attivi (locazione di una stanza presso la sede legale).</w:t>
      </w:r>
    </w:p>
    <w:p w:rsidR="003D4756" w:rsidRDefault="00B559F0" w:rsidP="00311628">
      <w:r w:rsidRPr="00B559F0">
        <w:t xml:space="preserve">L’Organo di Amministrazione conferma che nel corso della gestione non sono emerse criticità che debbano essere oggetto di segnalazione. </w:t>
      </w:r>
    </w:p>
    <w:p w:rsidR="005B5701" w:rsidRDefault="005B5701" w:rsidP="00311628">
      <w:r>
        <w:t>Di seguito vengono esposti i prospetti di stato patrimoniale e rendiconto gestionale al 31/12/2025, comparati con i dati al 31/12/2024.</w:t>
      </w:r>
    </w:p>
    <w:p w:rsidR="005B5701" w:rsidRPr="005B5701" w:rsidRDefault="005B5701" w:rsidP="005B5701">
      <w:pPr>
        <w:spacing w:before="240" w:after="120"/>
        <w:rPr>
          <w:rFonts w:asciiTheme="minorHAnsi" w:hAnsiTheme="minorHAnsi" w:cstheme="minorHAnsi"/>
          <w:b/>
          <w:sz w:val="24"/>
        </w:rPr>
      </w:pPr>
      <w:r w:rsidRPr="005B5701">
        <w:rPr>
          <w:rFonts w:asciiTheme="minorHAnsi" w:hAnsiTheme="minorHAnsi" w:cstheme="minorHAnsi"/>
          <w:b/>
          <w:sz w:val="24"/>
        </w:rPr>
        <w:t>Stato patrimoniale</w:t>
      </w:r>
    </w:p>
    <w:tbl>
      <w:tblPr>
        <w:tblW w:w="5000" w:type="pct"/>
        <w:tblBorders>
          <w:top w:val="single" w:sz="12" w:space="0" w:color="000000"/>
          <w:bottom w:val="single" w:sz="12" w:space="0" w:color="000000"/>
        </w:tblBorders>
        <w:tblCellMar>
          <w:top w:w="40" w:type="dxa"/>
          <w:left w:w="40" w:type="dxa"/>
          <w:bottom w:w="40" w:type="dxa"/>
          <w:right w:w="40" w:type="dxa"/>
        </w:tblCellMar>
        <w:tblLook w:val="00A0" w:firstRow="1" w:lastRow="0" w:firstColumn="1" w:lastColumn="0" w:noHBand="0" w:noVBand="0"/>
      </w:tblPr>
      <w:tblGrid>
        <w:gridCol w:w="7045"/>
        <w:gridCol w:w="1453"/>
        <w:gridCol w:w="1453"/>
      </w:tblGrid>
      <w:tr w:rsidR="005B5701" w:rsidRPr="005B5701" w:rsidTr="00DB0DF0">
        <w:trPr>
          <w:tblHeader/>
        </w:trPr>
        <w:tc>
          <w:tcPr>
            <w:tcW w:w="3540" w:type="pct"/>
            <w:tcBorders>
              <w:top w:val="single" w:sz="12" w:space="0" w:color="000000"/>
              <w:bottom w:val="single" w:sz="12" w:space="0" w:color="000000"/>
            </w:tcBorders>
            <w:shd w:val="clear" w:color="auto" w:fill="C6D9F1"/>
            <w:vAlign w:val="center"/>
          </w:tcPr>
          <w:p w:rsidR="005B5701" w:rsidRPr="005B5701" w:rsidRDefault="005B5701" w:rsidP="005B5701">
            <w:pPr>
              <w:spacing w:before="20" w:after="20" w:line="240" w:lineRule="auto"/>
              <w:jc w:val="center"/>
              <w:rPr>
                <w:rFonts w:ascii="Calibri" w:eastAsia="Times New Roman" w:hAnsi="Calibri"/>
                <w:b/>
                <w:noProof/>
                <w:sz w:val="18"/>
              </w:rPr>
            </w:pPr>
          </w:p>
        </w:tc>
        <w:tc>
          <w:tcPr>
            <w:tcW w:w="730" w:type="pct"/>
            <w:tcBorders>
              <w:top w:val="single" w:sz="12" w:space="0" w:color="000000"/>
              <w:bottom w:val="single" w:sz="12" w:space="0" w:color="000000"/>
            </w:tcBorders>
            <w:shd w:val="clear" w:color="auto" w:fill="C6D9F1"/>
            <w:vAlign w:val="center"/>
          </w:tcPr>
          <w:p w:rsidR="005B5701" w:rsidRPr="005B5701" w:rsidRDefault="005B5701" w:rsidP="005B5701">
            <w:pPr>
              <w:spacing w:before="20" w:after="20" w:line="240" w:lineRule="auto"/>
              <w:jc w:val="center"/>
              <w:rPr>
                <w:rFonts w:ascii="Calibri" w:eastAsia="Times New Roman" w:hAnsi="Calibri"/>
                <w:b/>
                <w:noProof/>
                <w:sz w:val="18"/>
              </w:rPr>
            </w:pPr>
            <w:r w:rsidRPr="005B5701">
              <w:rPr>
                <w:rFonts w:ascii="Calibri" w:eastAsia="Times New Roman" w:hAnsi="Calibri"/>
                <w:b/>
                <w:noProof/>
                <w:sz w:val="18"/>
              </w:rPr>
              <w:t>31/12/2025</w:t>
            </w:r>
          </w:p>
        </w:tc>
        <w:tc>
          <w:tcPr>
            <w:tcW w:w="730" w:type="pct"/>
            <w:tcBorders>
              <w:top w:val="single" w:sz="12" w:space="0" w:color="000000"/>
              <w:bottom w:val="single" w:sz="12" w:space="0" w:color="000000"/>
            </w:tcBorders>
            <w:shd w:val="clear" w:color="auto" w:fill="C6D9F1"/>
            <w:vAlign w:val="center"/>
          </w:tcPr>
          <w:p w:rsidR="005B5701" w:rsidRPr="005B5701" w:rsidRDefault="005B5701" w:rsidP="005B5701">
            <w:pPr>
              <w:spacing w:before="20" w:after="20" w:line="240" w:lineRule="auto"/>
              <w:jc w:val="center"/>
              <w:rPr>
                <w:rFonts w:ascii="Calibri" w:eastAsia="Times New Roman" w:hAnsi="Calibri"/>
                <w:b/>
                <w:noProof/>
                <w:sz w:val="18"/>
              </w:rPr>
            </w:pPr>
            <w:r w:rsidRPr="005B5701">
              <w:rPr>
                <w:rFonts w:ascii="Calibri" w:eastAsia="Times New Roman" w:hAnsi="Calibri"/>
                <w:b/>
                <w:noProof/>
                <w:sz w:val="18"/>
              </w:rPr>
              <w:t>31/12/2024</w:t>
            </w:r>
          </w:p>
        </w:tc>
      </w:tr>
      <w:tr w:rsidR="005B5701" w:rsidRPr="005B5701" w:rsidTr="00DB0DF0">
        <w:tc>
          <w:tcPr>
            <w:tcW w:w="3540" w:type="pct"/>
            <w:tcBorders>
              <w:top w:val="single" w:sz="12" w:space="0" w:color="000000"/>
              <w:bottom w:val="single" w:sz="6" w:space="0" w:color="000000"/>
            </w:tcBorders>
            <w:shd w:val="clear" w:color="auto" w:fill="DBE5F1"/>
            <w:vAlign w:val="center"/>
          </w:tcPr>
          <w:p w:rsidR="005B5701" w:rsidRPr="005B5701" w:rsidRDefault="005B5701" w:rsidP="005B5701">
            <w:pPr>
              <w:spacing w:before="20" w:after="20" w:line="240" w:lineRule="auto"/>
              <w:jc w:val="left"/>
              <w:rPr>
                <w:rFonts w:ascii="Calibri" w:eastAsia="Times New Roman" w:hAnsi="Calibri"/>
                <w:b/>
                <w:noProof/>
                <w:color w:val="auto"/>
                <w:sz w:val="18"/>
              </w:rPr>
            </w:pPr>
            <w:r w:rsidRPr="005B5701">
              <w:rPr>
                <w:rFonts w:ascii="Calibri" w:eastAsia="Times New Roman" w:hAnsi="Calibri"/>
                <w:b/>
                <w:noProof/>
                <w:color w:val="auto"/>
                <w:sz w:val="18"/>
              </w:rPr>
              <w:t>Attivo</w:t>
            </w:r>
          </w:p>
        </w:tc>
        <w:tc>
          <w:tcPr>
            <w:tcW w:w="730" w:type="pct"/>
            <w:tcBorders>
              <w:top w:val="single" w:sz="12"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c>
          <w:tcPr>
            <w:tcW w:w="730" w:type="pct"/>
            <w:tcBorders>
              <w:top w:val="single" w:sz="12"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r>
      <w:tr w:rsidR="005B5701" w:rsidRPr="005B5701" w:rsidTr="00DB0DF0">
        <w:tc>
          <w:tcPr>
            <w:tcW w:w="354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left"/>
              <w:rPr>
                <w:rFonts w:ascii="Calibri" w:eastAsia="Times New Roman" w:hAnsi="Calibri"/>
                <w:b/>
                <w:noProof/>
                <w:color w:val="auto"/>
                <w:sz w:val="18"/>
              </w:rPr>
            </w:pPr>
            <w:r w:rsidRPr="005B5701">
              <w:rPr>
                <w:rFonts w:ascii="Calibri" w:eastAsia="Times New Roman" w:hAnsi="Calibri"/>
                <w:b/>
                <w:noProof/>
                <w:color w:val="auto"/>
                <w:sz w:val="18"/>
              </w:rPr>
              <w:t>B) Immobilizzazioni</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I - Immobilizzazioni immateriali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1) costi di impianto e di ampliamento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8.108</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ab/>
              <w:t>Totale immobilizzazioni immateriali</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8.108</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II - Immobilizzazioni materiali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1) terreni e fabbricati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300.887</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311.697</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2) impianti e macchinari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19.503</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27.099</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3) attrezzature</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18.366</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23.614</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4) altri beni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58.138</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56.910</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ab/>
              <w:t>Totale immobilizzazioni materiali</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396.894</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419.320</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III - Immobilizzazioni finanziarie</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3) altri titoli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300.000</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ab/>
              <w:t>Totale immobilizzazioni finanziarie</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300.000</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Totale immobilizzazioni (B)</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705.002</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419.320</w:t>
            </w:r>
          </w:p>
        </w:tc>
      </w:tr>
      <w:tr w:rsidR="005B5701" w:rsidRPr="005B5701" w:rsidTr="00DB0DF0">
        <w:tc>
          <w:tcPr>
            <w:tcW w:w="354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left"/>
              <w:rPr>
                <w:rFonts w:ascii="Calibri" w:eastAsia="Times New Roman" w:hAnsi="Calibri"/>
                <w:b/>
                <w:noProof/>
                <w:color w:val="auto"/>
                <w:sz w:val="18"/>
              </w:rPr>
            </w:pPr>
            <w:r w:rsidRPr="005B5701">
              <w:rPr>
                <w:rFonts w:ascii="Calibri" w:eastAsia="Times New Roman" w:hAnsi="Calibri"/>
                <w:b/>
                <w:noProof/>
                <w:color w:val="auto"/>
                <w:sz w:val="18"/>
              </w:rPr>
              <w:t>C) Attivo circolante</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II - Crediti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9) crediti tributari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5.159</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r>
            <w:r w:rsidRPr="005B5701">
              <w:rPr>
                <w:rFonts w:ascii="Calibri" w:eastAsia="Times New Roman" w:hAnsi="Calibri"/>
                <w:noProof/>
                <w:color w:val="auto"/>
                <w:sz w:val="18"/>
              </w:rPr>
              <w:tab/>
              <w:t>esigibili entro l'esercizio successivo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5.159</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12) verso altri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15.008</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9.720</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r>
            <w:r w:rsidRPr="005B5701">
              <w:rPr>
                <w:rFonts w:ascii="Calibri" w:eastAsia="Times New Roman" w:hAnsi="Calibri"/>
                <w:noProof/>
                <w:color w:val="auto"/>
                <w:sz w:val="18"/>
              </w:rPr>
              <w:tab/>
              <w:t>esigibili entro l'esercizio successivo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15.008</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9.720</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ab/>
              <w:t>Totale crediti</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15.008</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14.879</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III - Attivita' finanziarie che non costituiscono immobilizzazioni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3) altri titoli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44.957</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ab/>
              <w:t>Totale attivita' finanziarie che non costituiscono immobilizzazioni</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44.957</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IV - Disponibilita' liquide</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1) depositi bancari e postali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680.728</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882.992</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3) danaro e valori in cassa</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947</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766</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ab/>
              <w:t>Totale disponibilita' liquide</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681.675</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883.758</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Totale attivo circolante (C)</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696.683</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943.594</w:t>
            </w:r>
          </w:p>
        </w:tc>
      </w:tr>
      <w:tr w:rsidR="005B5701" w:rsidRPr="005B5701" w:rsidTr="00DB0DF0">
        <w:tc>
          <w:tcPr>
            <w:tcW w:w="354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left"/>
              <w:rPr>
                <w:rFonts w:ascii="Calibri" w:eastAsia="Times New Roman" w:hAnsi="Calibri"/>
                <w:b/>
                <w:noProof/>
                <w:color w:val="auto"/>
                <w:sz w:val="18"/>
              </w:rPr>
            </w:pPr>
            <w:r w:rsidRPr="005B5701">
              <w:rPr>
                <w:rFonts w:ascii="Calibri" w:eastAsia="Times New Roman" w:hAnsi="Calibri"/>
                <w:b/>
                <w:noProof/>
                <w:color w:val="auto"/>
                <w:sz w:val="18"/>
              </w:rPr>
              <w:t>D) Ratei e risconti attivi</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r w:rsidRPr="005B5701">
              <w:rPr>
                <w:rFonts w:ascii="Calibri" w:eastAsia="Times New Roman" w:hAnsi="Calibri"/>
                <w:b/>
                <w:noProof/>
                <w:color w:val="auto"/>
                <w:sz w:val="18"/>
              </w:rPr>
              <w:t>2.993</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r w:rsidRPr="005B5701">
              <w:rPr>
                <w:rFonts w:ascii="Calibri" w:eastAsia="Times New Roman" w:hAnsi="Calibri"/>
                <w:b/>
                <w:noProof/>
                <w:color w:val="auto"/>
                <w:sz w:val="18"/>
              </w:rPr>
              <w:t>1.668</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Totale attivo</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1.404.678</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1.364.582</w:t>
            </w:r>
          </w:p>
        </w:tc>
      </w:tr>
      <w:tr w:rsidR="005B5701" w:rsidRPr="005B5701" w:rsidTr="00DB0DF0">
        <w:tc>
          <w:tcPr>
            <w:tcW w:w="354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left"/>
              <w:rPr>
                <w:rFonts w:ascii="Calibri" w:eastAsia="Times New Roman" w:hAnsi="Calibri"/>
                <w:b/>
                <w:noProof/>
                <w:color w:val="auto"/>
                <w:sz w:val="18"/>
              </w:rPr>
            </w:pPr>
            <w:r w:rsidRPr="005B5701">
              <w:rPr>
                <w:rFonts w:ascii="Calibri" w:eastAsia="Times New Roman" w:hAnsi="Calibri"/>
                <w:b/>
                <w:noProof/>
                <w:color w:val="auto"/>
                <w:sz w:val="18"/>
              </w:rPr>
              <w:t>Passivo</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r>
      <w:tr w:rsidR="005B5701" w:rsidRPr="005B5701" w:rsidTr="00DB0DF0">
        <w:tc>
          <w:tcPr>
            <w:tcW w:w="354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left"/>
              <w:rPr>
                <w:rFonts w:ascii="Calibri" w:eastAsia="Times New Roman" w:hAnsi="Calibri"/>
                <w:b/>
                <w:noProof/>
                <w:color w:val="auto"/>
                <w:sz w:val="18"/>
              </w:rPr>
            </w:pPr>
            <w:r w:rsidRPr="005B5701">
              <w:rPr>
                <w:rFonts w:ascii="Calibri" w:eastAsia="Times New Roman" w:hAnsi="Calibri"/>
                <w:b/>
                <w:noProof/>
                <w:color w:val="auto"/>
                <w:sz w:val="18"/>
              </w:rPr>
              <w:t>A) Patrimonio netto</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I - Fondo di dotazione dell'ente</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30.000</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2.660</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III - Patrimonio libero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1) riserve di utili o avanzi di gestione</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114.422</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2) altre riserve</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1.156.206</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913.290</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ab/>
              <w:t>Totale patrimonio libero</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1.156.206</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1.027.712</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IV - Avanzo/disavanzo d'esercizio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57.932</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155.836</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Totale patrimonio netto</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1.244.138</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1.186.208</w:t>
            </w:r>
          </w:p>
        </w:tc>
      </w:tr>
      <w:tr w:rsidR="005B5701" w:rsidRPr="005B5701" w:rsidTr="00DB0DF0">
        <w:tc>
          <w:tcPr>
            <w:tcW w:w="354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left"/>
              <w:rPr>
                <w:rFonts w:ascii="Calibri" w:eastAsia="Times New Roman" w:hAnsi="Calibri"/>
                <w:b/>
                <w:noProof/>
                <w:color w:val="auto"/>
                <w:sz w:val="18"/>
              </w:rPr>
            </w:pPr>
            <w:r w:rsidRPr="005B5701">
              <w:rPr>
                <w:rFonts w:ascii="Calibri" w:eastAsia="Times New Roman" w:hAnsi="Calibri"/>
                <w:b/>
                <w:noProof/>
                <w:color w:val="auto"/>
                <w:sz w:val="18"/>
              </w:rPr>
              <w:t>C) Trattamento di fine rapporto di lavoro subordinato</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r w:rsidRPr="005B5701">
              <w:rPr>
                <w:rFonts w:ascii="Calibri" w:eastAsia="Times New Roman" w:hAnsi="Calibri"/>
                <w:b/>
                <w:noProof/>
                <w:color w:val="auto"/>
                <w:sz w:val="18"/>
              </w:rPr>
              <w:t>30.848</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r w:rsidRPr="005B5701">
              <w:rPr>
                <w:rFonts w:ascii="Calibri" w:eastAsia="Times New Roman" w:hAnsi="Calibri"/>
                <w:b/>
                <w:noProof/>
                <w:color w:val="auto"/>
                <w:sz w:val="18"/>
              </w:rPr>
              <w:t>26.394</w:t>
            </w:r>
          </w:p>
        </w:tc>
      </w:tr>
      <w:tr w:rsidR="005B5701" w:rsidRPr="005B5701" w:rsidTr="00DB0DF0">
        <w:tc>
          <w:tcPr>
            <w:tcW w:w="354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left"/>
              <w:rPr>
                <w:rFonts w:ascii="Calibri" w:eastAsia="Times New Roman" w:hAnsi="Calibri"/>
                <w:b/>
                <w:noProof/>
                <w:color w:val="auto"/>
                <w:sz w:val="18"/>
              </w:rPr>
            </w:pPr>
            <w:r w:rsidRPr="005B5701">
              <w:rPr>
                <w:rFonts w:ascii="Calibri" w:eastAsia="Times New Roman" w:hAnsi="Calibri"/>
                <w:b/>
                <w:noProof/>
                <w:color w:val="auto"/>
                <w:sz w:val="18"/>
              </w:rPr>
              <w:t>D) Debiti</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1) debiti verso banche</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98</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esigibili entro l'esercizio successivo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98</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7) debiti verso fornitori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113.258</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134.521</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esigibili entro l'esercizio successivo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113.258</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134.521</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9) debiti tributari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9.738</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9.129</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esigibili entro l'esercizio successivo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9.738</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9.129</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10) debiti verso istituti di previdenza e di sicurezza sociale</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4.871</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4.816</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esigibili entro l'esercizio successivo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4.871</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4.816</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11) debiti verso dipendenti e collaboratori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949</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2.616</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esigibili entro l'esercizio successivo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949</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2.616</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t>12) altri debiti</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777</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777</w:t>
            </w:r>
          </w:p>
        </w:tc>
      </w:tr>
      <w:tr w:rsidR="005B5701" w:rsidRPr="005B5701" w:rsidTr="00DB0DF0">
        <w:tc>
          <w:tcPr>
            <w:tcW w:w="354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b/>
            </w:r>
            <w:r w:rsidRPr="005B5701">
              <w:rPr>
                <w:rFonts w:ascii="Calibri" w:eastAsia="Times New Roman" w:hAnsi="Calibri"/>
                <w:noProof/>
                <w:color w:val="auto"/>
                <w:sz w:val="18"/>
              </w:rPr>
              <w:tab/>
              <w:t>esigibili entro l'esercizio successivo</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777</w:t>
            </w:r>
          </w:p>
        </w:tc>
        <w:tc>
          <w:tcPr>
            <w:tcW w:w="73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777</w:t>
            </w:r>
          </w:p>
        </w:tc>
      </w:tr>
      <w:tr w:rsidR="005B5701" w:rsidRPr="005B5701" w:rsidTr="00DB0DF0">
        <w:tc>
          <w:tcPr>
            <w:tcW w:w="354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Totale debiti</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129.593</w:t>
            </w:r>
          </w:p>
        </w:tc>
        <w:tc>
          <w:tcPr>
            <w:tcW w:w="730" w:type="pct"/>
            <w:tcBorders>
              <w:top w:val="single" w:sz="6" w:space="0" w:color="000000"/>
              <w:bottom w:val="single" w:sz="6"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151.957</w:t>
            </w:r>
          </w:p>
        </w:tc>
      </w:tr>
      <w:tr w:rsidR="005B5701" w:rsidRPr="005B5701" w:rsidTr="00DB0DF0">
        <w:tc>
          <w:tcPr>
            <w:tcW w:w="354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left"/>
              <w:rPr>
                <w:rFonts w:ascii="Calibri" w:eastAsia="Times New Roman" w:hAnsi="Calibri"/>
                <w:b/>
                <w:noProof/>
                <w:color w:val="auto"/>
                <w:sz w:val="18"/>
              </w:rPr>
            </w:pPr>
            <w:r w:rsidRPr="005B5701">
              <w:rPr>
                <w:rFonts w:ascii="Calibri" w:eastAsia="Times New Roman" w:hAnsi="Calibri"/>
                <w:b/>
                <w:noProof/>
                <w:color w:val="auto"/>
                <w:sz w:val="18"/>
              </w:rPr>
              <w:t>E) Ratei e risconti passivi</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r w:rsidRPr="005B5701">
              <w:rPr>
                <w:rFonts w:ascii="Calibri" w:eastAsia="Times New Roman" w:hAnsi="Calibri"/>
                <w:b/>
                <w:noProof/>
                <w:color w:val="auto"/>
                <w:sz w:val="18"/>
              </w:rPr>
              <w:t>99</w:t>
            </w:r>
          </w:p>
        </w:tc>
        <w:tc>
          <w:tcPr>
            <w:tcW w:w="730" w:type="pct"/>
            <w:tcBorders>
              <w:top w:val="single" w:sz="6" w:space="0" w:color="000000"/>
              <w:bottom w:val="single" w:sz="6" w:space="0" w:color="000000"/>
            </w:tcBorders>
            <w:shd w:val="clear" w:color="auto" w:fill="DBE5F1"/>
            <w:vAlign w:val="center"/>
          </w:tcPr>
          <w:p w:rsidR="005B5701" w:rsidRPr="005B5701" w:rsidRDefault="005B5701" w:rsidP="005B5701">
            <w:pPr>
              <w:spacing w:before="20" w:after="20" w:line="240" w:lineRule="auto"/>
              <w:jc w:val="right"/>
              <w:rPr>
                <w:rFonts w:ascii="Calibri" w:eastAsia="Times New Roman" w:hAnsi="Calibri"/>
                <w:b/>
                <w:noProof/>
                <w:color w:val="auto"/>
                <w:sz w:val="18"/>
              </w:rPr>
            </w:pPr>
            <w:r w:rsidRPr="005B5701">
              <w:rPr>
                <w:rFonts w:ascii="Calibri" w:eastAsia="Times New Roman" w:hAnsi="Calibri"/>
                <w:b/>
                <w:noProof/>
                <w:color w:val="auto"/>
                <w:sz w:val="18"/>
              </w:rPr>
              <w:t>23</w:t>
            </w:r>
          </w:p>
        </w:tc>
      </w:tr>
      <w:tr w:rsidR="005B5701" w:rsidRPr="005B5701" w:rsidTr="00DB0DF0">
        <w:tc>
          <w:tcPr>
            <w:tcW w:w="3540" w:type="pct"/>
            <w:tcBorders>
              <w:top w:val="single" w:sz="6" w:space="0" w:color="000000"/>
              <w:bottom w:val="single" w:sz="12" w:space="0" w:color="000000"/>
            </w:tcBorders>
            <w:shd w:val="clear" w:color="auto" w:fill="F1F1F1"/>
            <w:vAlign w:val="center"/>
          </w:tcPr>
          <w:p w:rsidR="005B5701" w:rsidRPr="005B5701" w:rsidRDefault="005B5701" w:rsidP="005B5701">
            <w:pPr>
              <w:spacing w:before="20" w:after="20" w:line="240" w:lineRule="auto"/>
              <w:jc w:val="left"/>
              <w:rPr>
                <w:rFonts w:ascii="Calibri" w:eastAsia="Times New Roman" w:hAnsi="Calibri"/>
                <w:i/>
                <w:noProof/>
                <w:color w:val="auto"/>
                <w:sz w:val="18"/>
              </w:rPr>
            </w:pPr>
            <w:r w:rsidRPr="005B5701">
              <w:rPr>
                <w:rFonts w:ascii="Calibri" w:eastAsia="Times New Roman" w:hAnsi="Calibri"/>
                <w:i/>
                <w:noProof/>
                <w:color w:val="auto"/>
                <w:sz w:val="18"/>
              </w:rPr>
              <w:t>Totale passivo</w:t>
            </w:r>
          </w:p>
        </w:tc>
        <w:tc>
          <w:tcPr>
            <w:tcW w:w="730" w:type="pct"/>
            <w:tcBorders>
              <w:top w:val="single" w:sz="6" w:space="0" w:color="000000"/>
              <w:bottom w:val="single" w:sz="12"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1.404.678</w:t>
            </w:r>
          </w:p>
        </w:tc>
        <w:tc>
          <w:tcPr>
            <w:tcW w:w="730" w:type="pct"/>
            <w:tcBorders>
              <w:top w:val="single" w:sz="6" w:space="0" w:color="000000"/>
              <w:bottom w:val="single" w:sz="12" w:space="0" w:color="000000"/>
            </w:tcBorders>
            <w:shd w:val="clear" w:color="auto" w:fill="F1F1F1"/>
            <w:vAlign w:val="center"/>
          </w:tcPr>
          <w:p w:rsidR="005B5701" w:rsidRPr="005B5701" w:rsidRDefault="005B5701" w:rsidP="005B5701">
            <w:pPr>
              <w:spacing w:before="20" w:after="20" w:line="240" w:lineRule="auto"/>
              <w:jc w:val="right"/>
              <w:rPr>
                <w:rFonts w:ascii="Calibri" w:eastAsia="Times New Roman" w:hAnsi="Calibri"/>
                <w:i/>
                <w:noProof/>
                <w:color w:val="auto"/>
                <w:sz w:val="18"/>
              </w:rPr>
            </w:pPr>
            <w:r w:rsidRPr="005B5701">
              <w:rPr>
                <w:rFonts w:ascii="Calibri" w:eastAsia="Times New Roman" w:hAnsi="Calibri"/>
                <w:i/>
                <w:noProof/>
                <w:color w:val="auto"/>
                <w:sz w:val="18"/>
              </w:rPr>
              <w:t>1.364.582</w:t>
            </w:r>
          </w:p>
        </w:tc>
      </w:tr>
    </w:tbl>
    <w:p w:rsidR="005B5701" w:rsidRDefault="005B5701" w:rsidP="00311628"/>
    <w:p w:rsidR="005B5701" w:rsidRPr="005B5701" w:rsidRDefault="005B5701" w:rsidP="005B5701">
      <w:pPr>
        <w:spacing w:before="240" w:after="120"/>
        <w:rPr>
          <w:rFonts w:ascii="Calibri" w:hAnsi="Calibri" w:cs="Calibri"/>
          <w:b/>
          <w:sz w:val="24"/>
        </w:rPr>
      </w:pPr>
      <w:r>
        <w:rPr>
          <w:rFonts w:ascii="Calibri" w:hAnsi="Calibri" w:cs="Calibri"/>
          <w:b/>
          <w:sz w:val="24"/>
        </w:rPr>
        <w:t>Rendiconto gestionale</w:t>
      </w:r>
    </w:p>
    <w:tbl>
      <w:tblPr>
        <w:tblW w:w="5000" w:type="pct"/>
        <w:tblBorders>
          <w:top w:val="single" w:sz="12" w:space="0" w:color="000000"/>
          <w:bottom w:val="single" w:sz="12" w:space="0" w:color="000000"/>
        </w:tblBorders>
        <w:tblCellMar>
          <w:top w:w="40" w:type="dxa"/>
          <w:left w:w="40" w:type="dxa"/>
          <w:bottom w:w="40" w:type="dxa"/>
          <w:right w:w="40" w:type="dxa"/>
        </w:tblCellMar>
        <w:tblLook w:val="00A0" w:firstRow="1" w:lastRow="0" w:firstColumn="1" w:lastColumn="0" w:noHBand="0" w:noVBand="0"/>
      </w:tblPr>
      <w:tblGrid>
        <w:gridCol w:w="3045"/>
        <w:gridCol w:w="965"/>
        <w:gridCol w:w="965"/>
        <w:gridCol w:w="3046"/>
        <w:gridCol w:w="965"/>
        <w:gridCol w:w="965"/>
      </w:tblGrid>
      <w:tr w:rsidR="005B5701" w:rsidRPr="005B5701" w:rsidTr="00DB0DF0">
        <w:trPr>
          <w:tblHeader/>
        </w:trPr>
        <w:tc>
          <w:tcPr>
            <w:tcW w:w="1770" w:type="pct"/>
            <w:tcBorders>
              <w:top w:val="single" w:sz="12" w:space="0" w:color="000000"/>
              <w:bottom w:val="single" w:sz="12" w:space="0" w:color="000000"/>
            </w:tcBorders>
            <w:shd w:val="clear" w:color="auto" w:fill="C6D9F1"/>
            <w:vAlign w:val="center"/>
          </w:tcPr>
          <w:p w:rsidR="005B5701" w:rsidRPr="005B5701" w:rsidRDefault="005B5701" w:rsidP="005B5701">
            <w:pPr>
              <w:spacing w:before="20" w:after="20" w:line="240" w:lineRule="auto"/>
              <w:jc w:val="center"/>
              <w:rPr>
                <w:rFonts w:ascii="Calibri" w:eastAsia="Times New Roman" w:hAnsi="Calibri"/>
                <w:b/>
                <w:noProof/>
                <w:sz w:val="18"/>
              </w:rPr>
            </w:pPr>
            <w:r w:rsidRPr="005B5701">
              <w:rPr>
                <w:rFonts w:ascii="Calibri" w:eastAsia="Times New Roman" w:hAnsi="Calibri"/>
                <w:b/>
                <w:noProof/>
                <w:sz w:val="18"/>
              </w:rPr>
              <w:t>Oneri e costi</w:t>
            </w:r>
          </w:p>
        </w:tc>
        <w:tc>
          <w:tcPr>
            <w:tcW w:w="365" w:type="pct"/>
            <w:tcBorders>
              <w:top w:val="single" w:sz="12" w:space="0" w:color="000000"/>
              <w:bottom w:val="single" w:sz="12" w:space="0" w:color="000000"/>
            </w:tcBorders>
            <w:shd w:val="clear" w:color="auto" w:fill="C6D9F1"/>
            <w:vAlign w:val="center"/>
          </w:tcPr>
          <w:p w:rsidR="005B5701" w:rsidRPr="005B5701" w:rsidRDefault="005B5701" w:rsidP="005B5701">
            <w:pPr>
              <w:spacing w:before="20" w:after="20" w:line="240" w:lineRule="auto"/>
              <w:jc w:val="center"/>
              <w:rPr>
                <w:rFonts w:ascii="Calibri" w:eastAsia="Times New Roman" w:hAnsi="Calibri"/>
                <w:b/>
                <w:noProof/>
                <w:sz w:val="18"/>
              </w:rPr>
            </w:pPr>
            <w:r w:rsidRPr="005B5701">
              <w:rPr>
                <w:rFonts w:ascii="Calibri" w:eastAsia="Times New Roman" w:hAnsi="Calibri"/>
                <w:b/>
                <w:noProof/>
                <w:sz w:val="18"/>
              </w:rPr>
              <w:t>31/12/2025</w:t>
            </w:r>
          </w:p>
        </w:tc>
        <w:tc>
          <w:tcPr>
            <w:tcW w:w="365" w:type="pct"/>
            <w:tcBorders>
              <w:top w:val="single" w:sz="12" w:space="0" w:color="000000"/>
              <w:bottom w:val="single" w:sz="12" w:space="0" w:color="000000"/>
            </w:tcBorders>
            <w:shd w:val="clear" w:color="auto" w:fill="C6D9F1"/>
            <w:vAlign w:val="center"/>
          </w:tcPr>
          <w:p w:rsidR="005B5701" w:rsidRPr="005B5701" w:rsidRDefault="005B5701" w:rsidP="005B5701">
            <w:pPr>
              <w:spacing w:before="20" w:after="20" w:line="240" w:lineRule="auto"/>
              <w:jc w:val="center"/>
              <w:rPr>
                <w:rFonts w:ascii="Calibri" w:eastAsia="Times New Roman" w:hAnsi="Calibri"/>
                <w:b/>
                <w:noProof/>
                <w:sz w:val="18"/>
              </w:rPr>
            </w:pPr>
            <w:r w:rsidRPr="005B5701">
              <w:rPr>
                <w:rFonts w:ascii="Calibri" w:eastAsia="Times New Roman" w:hAnsi="Calibri"/>
                <w:b/>
                <w:noProof/>
                <w:sz w:val="18"/>
              </w:rPr>
              <w:t>31/12/2024</w:t>
            </w:r>
          </w:p>
        </w:tc>
        <w:tc>
          <w:tcPr>
            <w:tcW w:w="1770" w:type="pct"/>
            <w:tcBorders>
              <w:top w:val="single" w:sz="12" w:space="0" w:color="000000"/>
              <w:bottom w:val="single" w:sz="12" w:space="0" w:color="000000"/>
            </w:tcBorders>
            <w:shd w:val="clear" w:color="auto" w:fill="C6D9F1"/>
            <w:vAlign w:val="center"/>
          </w:tcPr>
          <w:p w:rsidR="005B5701" w:rsidRPr="005B5701" w:rsidRDefault="005B5701" w:rsidP="005B5701">
            <w:pPr>
              <w:spacing w:before="20" w:after="20" w:line="240" w:lineRule="auto"/>
              <w:jc w:val="center"/>
              <w:rPr>
                <w:rFonts w:ascii="Calibri" w:eastAsia="Times New Roman" w:hAnsi="Calibri"/>
                <w:b/>
                <w:noProof/>
                <w:sz w:val="18"/>
              </w:rPr>
            </w:pPr>
            <w:r w:rsidRPr="005B5701">
              <w:rPr>
                <w:rFonts w:ascii="Calibri" w:eastAsia="Times New Roman" w:hAnsi="Calibri"/>
                <w:b/>
                <w:noProof/>
                <w:sz w:val="18"/>
              </w:rPr>
              <w:t>Proventi e ricavi</w:t>
            </w:r>
          </w:p>
        </w:tc>
        <w:tc>
          <w:tcPr>
            <w:tcW w:w="365" w:type="pct"/>
            <w:tcBorders>
              <w:top w:val="single" w:sz="12" w:space="0" w:color="000000"/>
              <w:bottom w:val="single" w:sz="12" w:space="0" w:color="000000"/>
            </w:tcBorders>
            <w:shd w:val="clear" w:color="auto" w:fill="C6D9F1"/>
            <w:vAlign w:val="center"/>
          </w:tcPr>
          <w:p w:rsidR="005B5701" w:rsidRPr="005B5701" w:rsidRDefault="005B5701" w:rsidP="005B5701">
            <w:pPr>
              <w:spacing w:before="20" w:after="20" w:line="240" w:lineRule="auto"/>
              <w:jc w:val="center"/>
              <w:rPr>
                <w:rFonts w:ascii="Calibri" w:eastAsia="Times New Roman" w:hAnsi="Calibri"/>
                <w:b/>
                <w:noProof/>
                <w:sz w:val="18"/>
              </w:rPr>
            </w:pPr>
            <w:r w:rsidRPr="005B5701">
              <w:rPr>
                <w:rFonts w:ascii="Calibri" w:eastAsia="Times New Roman" w:hAnsi="Calibri"/>
                <w:b/>
                <w:noProof/>
                <w:sz w:val="18"/>
              </w:rPr>
              <w:t>31/12/2025</w:t>
            </w:r>
          </w:p>
        </w:tc>
        <w:tc>
          <w:tcPr>
            <w:tcW w:w="365" w:type="pct"/>
            <w:tcBorders>
              <w:top w:val="single" w:sz="12" w:space="0" w:color="000000"/>
              <w:bottom w:val="single" w:sz="12" w:space="0" w:color="000000"/>
            </w:tcBorders>
            <w:shd w:val="clear" w:color="auto" w:fill="C6D9F1"/>
            <w:vAlign w:val="center"/>
          </w:tcPr>
          <w:p w:rsidR="005B5701" w:rsidRPr="005B5701" w:rsidRDefault="005B5701" w:rsidP="005B5701">
            <w:pPr>
              <w:spacing w:before="20" w:after="20" w:line="240" w:lineRule="auto"/>
              <w:jc w:val="center"/>
              <w:rPr>
                <w:rFonts w:ascii="Calibri" w:eastAsia="Times New Roman" w:hAnsi="Calibri"/>
                <w:b/>
                <w:noProof/>
                <w:sz w:val="18"/>
              </w:rPr>
            </w:pPr>
            <w:r w:rsidRPr="005B5701">
              <w:rPr>
                <w:rFonts w:ascii="Calibri" w:eastAsia="Times New Roman" w:hAnsi="Calibri"/>
                <w:b/>
                <w:noProof/>
                <w:sz w:val="18"/>
              </w:rPr>
              <w:t>31/12/2024</w:t>
            </w:r>
          </w:p>
        </w:tc>
      </w:tr>
      <w:tr w:rsidR="005B5701" w:rsidRPr="005B5701" w:rsidTr="00DB0DF0">
        <w:tc>
          <w:tcPr>
            <w:tcW w:w="1770" w:type="pct"/>
            <w:tcBorders>
              <w:top w:val="single" w:sz="12"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 Costi e oneri da attività di interesse generale</w:t>
            </w:r>
          </w:p>
        </w:tc>
        <w:tc>
          <w:tcPr>
            <w:tcW w:w="365" w:type="pct"/>
            <w:tcBorders>
              <w:top w:val="single" w:sz="12"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401.381</w:t>
            </w:r>
          </w:p>
        </w:tc>
        <w:tc>
          <w:tcPr>
            <w:tcW w:w="365" w:type="pct"/>
            <w:tcBorders>
              <w:top w:val="single" w:sz="12"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357.170</w:t>
            </w:r>
          </w:p>
        </w:tc>
        <w:tc>
          <w:tcPr>
            <w:tcW w:w="1770" w:type="pct"/>
            <w:tcBorders>
              <w:top w:val="single" w:sz="12"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 Ricavi, rendite e proventi da attività di interesse generale</w:t>
            </w:r>
          </w:p>
        </w:tc>
        <w:tc>
          <w:tcPr>
            <w:tcW w:w="365" w:type="pct"/>
            <w:tcBorders>
              <w:top w:val="single" w:sz="12"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537.050</w:t>
            </w:r>
          </w:p>
        </w:tc>
        <w:tc>
          <w:tcPr>
            <w:tcW w:w="365" w:type="pct"/>
            <w:tcBorders>
              <w:top w:val="single" w:sz="12"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532.886</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 Materie prime, sussidiarie, di consumo e di merci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403</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727</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 Proventi da quote associative e apporti dei fondatori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2) Servizi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288.827</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250.231</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2) Proventi dagli associati per attività mutuali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3) Godimento beni di terzi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1.155</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837</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3) Ricavi per prestazioni e cessioni ad associati e fondatori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4) Personale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68.837</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70.017</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4) Erogazioni liberali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492.001</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482.269</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5) Ammortamenti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37.468</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29.967</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5) Proventi del 5 per mille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43.958</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45.618</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5 bis) Svalutazioni delle immobilizzazioni materiali ed immateriali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6) Contributi da soggetti privati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6) Accantonamenti per rischi ed oneri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7) Ricavi per prestazioni e cessioni a terzi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7) Oneri diversi di gestione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4.691</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5.391</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8) Contributi da enti pubblici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500</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8) Rimanenze iniziali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9) Proventi da contratti con enti pubblici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9) Accantonamento a riserva vincolata per decisione degli organi istituzionali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10) Altri ricavi, rendite e proventi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1.091</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4.499</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10) Utilizzo riserva vincolata per decisione degli organi istituzionali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11) Rimanenze finali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costi e oneri da attività di interesse generale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401.381</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357.170</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ricavi, rendite e proventi da attività di interesse generale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537.050</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532.886</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Avanzo/disavanzo attività di interesse generale (+/-)</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135.669</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175.716</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B) Costi e oneri da attività diverse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B) Ricavi, rendite e proventi da attività diverse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 Materie prime, sussidiarie, di consumo e di merci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 Ricavi per prestazioni e cessioni ad associati e fondatori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2) Servizi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2) Contributi da soggetti privati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3) Godimento beni di terzi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3) Ricavi per prestazioni e cessioni a terzi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4) Personale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4) Contributi da enti pubblici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5) Ammortamenti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5) Proventi da contratti con enti pubblici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5 bis) Svalutazioni delle immobilizzazioni materiali ed immateriali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6) Altri ricavi, rendite e proventi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6) Accantonamenti per rischi ed oneri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7) Rimanenze finali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7) Oneri diversi di gestione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8) Rimanenze iniziali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costi e oneri da attività diverse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ricavi, rendite e proventi da attività diverse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Avanzo/disavanzo attività diverse (+/-)</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C) Costi e oneri da attività di raccolta fondi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C) Ricavi, rendite e proventi da attività di raccolta fondi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 Oneri per raccolte fondi abituali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 Proventi da raccolte fondi abituali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2) Oneri per raccolte fondi occasionali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2) Proventi da raccolte fondi occasionali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3) Altri oneri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3) Altri proventi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costi e oneri da attività di raccolta fondi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ricavi, rendite e proventi da attività di raccolta fondi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Avanzo/disavanzo attività di raccolta fondi (+/-)</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D) Costi e oneri da attività finanziarie e patrimoniali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50.278</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6.743</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D) Ricavi, rendite e proventi da attività finanziarie e patrimoniali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13.056</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12.000</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 Su rapporti bancari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 Da rapporti bancari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1.056</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2) Su prestiti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2) Da altri investimenti finanziari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3) Da patrimonio edilizio</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2.418</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6.343</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3) Da patrimonio edilizio</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4) Da altri beni patrimoniali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4) Da altri beni patrimoniali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5) Accantonamenti per rischi ed oneri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5) Altri proventi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12.000</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12.000</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6) Altri oneri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47.860</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400</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costi e oneri da attività finanziarie e patrimoniali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50.278</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6.743</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ricavi, rendite e proventi da attività finanziarie e patrimoniali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13.056</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12.000</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Avanzo/disavanzo attività finanziarie e patrimoniali (+/-)</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(37.222)</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5.257</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E) Costi e oneri di supporto generale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23.575</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20.407</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E) Proventi di supporto generale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 Materie prime, sussidiarie, di consumo e di merci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2.925</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4.946</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1) Proventi da distacco del personale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2) Servizi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19.052</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13.233</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2) Altri proventi di supporto generale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3) Godimento beni di terzi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1.200</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856</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4) Personale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5) Ammortamenti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5 bis) Svalutazioni delle immobilizzazioni materiali ed immateriali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6) Accantonamenti per rischi ed oneri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7) Altri oneri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398</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1.372</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8) Accantonamento a riserva vincolata per decisione degli organi istituzionali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9) Utilizzo riserva vincolata per decisione degli organi istituzionali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costi e oneri di supporto generale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23.575</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20.407</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proventi di supporto generale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oneri e costi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475.234</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384.320</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Totale proventi e ricavi</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550.106</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544.886</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Avanzo/disavanzo d'esercizio prima delle imposte (+/-)</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74.872</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160.566</w:t>
            </w:r>
          </w:p>
        </w:tc>
      </w:tr>
      <w:tr w:rsidR="005B5701" w:rsidRPr="005B5701" w:rsidTr="00DB0DF0">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Imposte</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(16.940)</w:t>
            </w:r>
          </w:p>
        </w:tc>
        <w:tc>
          <w:tcPr>
            <w:tcW w:w="365" w:type="pct"/>
            <w:tcBorders>
              <w:top w:val="single" w:sz="6" w:space="0" w:color="000000"/>
              <w:bottom w:val="single" w:sz="6"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(4.730)</w:t>
            </w:r>
          </w:p>
        </w:tc>
      </w:tr>
      <w:tr w:rsidR="005B5701" w:rsidRPr="005B5701" w:rsidTr="00DB0DF0">
        <w:tc>
          <w:tcPr>
            <w:tcW w:w="1770" w:type="pct"/>
            <w:tcBorders>
              <w:top w:val="single" w:sz="6" w:space="0" w:color="000000"/>
              <w:bottom w:val="single" w:sz="12"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p>
        </w:tc>
        <w:tc>
          <w:tcPr>
            <w:tcW w:w="365" w:type="pct"/>
            <w:tcBorders>
              <w:top w:val="single" w:sz="6" w:space="0" w:color="000000"/>
              <w:bottom w:val="single" w:sz="12"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365" w:type="pct"/>
            <w:tcBorders>
              <w:top w:val="single" w:sz="6" w:space="0" w:color="000000"/>
              <w:bottom w:val="single" w:sz="12"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w:t>
            </w:r>
          </w:p>
        </w:tc>
        <w:tc>
          <w:tcPr>
            <w:tcW w:w="1770" w:type="pct"/>
            <w:tcBorders>
              <w:top w:val="single" w:sz="6" w:space="0" w:color="000000"/>
              <w:bottom w:val="single" w:sz="12" w:space="0" w:color="000000"/>
            </w:tcBorders>
            <w:shd w:val="clear" w:color="auto" w:fill="FFFFFF"/>
            <w:vAlign w:val="center"/>
          </w:tcPr>
          <w:p w:rsidR="005B5701" w:rsidRPr="005B5701" w:rsidRDefault="005B5701" w:rsidP="005B5701">
            <w:pPr>
              <w:spacing w:before="20" w:after="20" w:line="240" w:lineRule="auto"/>
              <w:jc w:val="left"/>
              <w:rPr>
                <w:rFonts w:ascii="Calibri" w:eastAsia="Times New Roman" w:hAnsi="Calibri"/>
                <w:noProof/>
                <w:color w:val="auto"/>
                <w:sz w:val="18"/>
              </w:rPr>
            </w:pPr>
            <w:r w:rsidRPr="005B5701">
              <w:rPr>
                <w:rFonts w:ascii="Calibri" w:eastAsia="Times New Roman" w:hAnsi="Calibri"/>
                <w:noProof/>
                <w:color w:val="auto"/>
                <w:sz w:val="18"/>
              </w:rPr>
              <w:t>Avanzo/disavanzo d'esercizio (+/-)</w:t>
            </w:r>
          </w:p>
        </w:tc>
        <w:tc>
          <w:tcPr>
            <w:tcW w:w="365" w:type="pct"/>
            <w:tcBorders>
              <w:top w:val="single" w:sz="6" w:space="0" w:color="000000"/>
              <w:bottom w:val="single" w:sz="12"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57.932</w:t>
            </w:r>
          </w:p>
        </w:tc>
        <w:tc>
          <w:tcPr>
            <w:tcW w:w="365" w:type="pct"/>
            <w:tcBorders>
              <w:top w:val="single" w:sz="6" w:space="0" w:color="000000"/>
              <w:bottom w:val="single" w:sz="12" w:space="0" w:color="000000"/>
            </w:tcBorders>
            <w:shd w:val="clear" w:color="auto" w:fill="FFFFFF"/>
            <w:vAlign w:val="center"/>
          </w:tcPr>
          <w:p w:rsidR="005B5701" w:rsidRPr="005B5701" w:rsidRDefault="005B5701" w:rsidP="005B5701">
            <w:pPr>
              <w:spacing w:before="20" w:after="20" w:line="240" w:lineRule="auto"/>
              <w:jc w:val="right"/>
              <w:rPr>
                <w:rFonts w:ascii="Calibri" w:eastAsia="Times New Roman" w:hAnsi="Calibri"/>
                <w:noProof/>
                <w:color w:val="auto"/>
                <w:sz w:val="18"/>
              </w:rPr>
            </w:pPr>
            <w:r w:rsidRPr="005B5701">
              <w:rPr>
                <w:rFonts w:ascii="Calibri" w:eastAsia="Times New Roman" w:hAnsi="Calibri"/>
                <w:noProof/>
                <w:color w:val="auto"/>
                <w:sz w:val="18"/>
              </w:rPr>
              <w:t>155.836</w:t>
            </w:r>
          </w:p>
        </w:tc>
      </w:tr>
    </w:tbl>
    <w:p w:rsidR="003D4756" w:rsidRPr="005B5701" w:rsidRDefault="0057403D" w:rsidP="003D4756">
      <w:pPr>
        <w:pStyle w:val="Titolo1"/>
        <w:rPr>
          <w:color w:val="000099"/>
        </w:rPr>
      </w:pPr>
      <w:r w:rsidRPr="005B5701">
        <w:rPr>
          <w:color w:val="000099"/>
        </w:rPr>
        <w:t>Altre informazioni</w:t>
      </w:r>
    </w:p>
    <w:p w:rsidR="003D4756" w:rsidRPr="00294235" w:rsidRDefault="00294235" w:rsidP="00311628">
      <w:r w:rsidRPr="00294235">
        <w:t xml:space="preserve">Non sono in corso né contenziosi né controversie. </w:t>
      </w:r>
    </w:p>
    <w:p w:rsidR="003D4756" w:rsidRPr="00294235" w:rsidRDefault="00294235" w:rsidP="00311628">
      <w:r w:rsidRPr="00294235">
        <w:t xml:space="preserve">Nel presente bilancio sociale non vengono fornite informazioni di tipo ambientale, in quanto non rilevanti con riferimento alle </w:t>
      </w:r>
      <w:r w:rsidR="00A02F21" w:rsidRPr="00294235">
        <w:t>attività</w:t>
      </w:r>
      <w:r w:rsidRPr="00294235">
        <w:t xml:space="preserve"> dell'ente. </w:t>
      </w:r>
    </w:p>
    <w:p w:rsidR="00B559F0" w:rsidRPr="00B559F0" w:rsidRDefault="00B559F0" w:rsidP="00C17042">
      <w:r w:rsidRPr="00B559F0">
        <w:t>Nel presente paragrafo si forniscono le altre informazioni di natura non finanziaria, inerenti gli aspetti di natura sociale, la parità di genere, il rispetto dei diritti umani, la lotta contro la corruzione ecc.</w:t>
      </w:r>
    </w:p>
    <w:p w:rsidR="00B559F0" w:rsidRPr="00B559F0" w:rsidRDefault="00B559F0" w:rsidP="00C17042">
      <w:r w:rsidRPr="00B559F0">
        <w:t>In particolare, in ossequio alle Linee Guida contenute nel D.M. del 4 luglio 2019, che nella nota (13) richiamano le altre informazioni di natura non finanziaria, quali quelle contenute nel D.Lgs. del 30/12/2016, n. 254, si forniscono le informazioni riguardanti:</w:t>
      </w:r>
    </w:p>
    <w:p w:rsidR="00A02F21" w:rsidRDefault="00B559F0" w:rsidP="00C17042">
      <w:pPr>
        <w:numPr>
          <w:ilvl w:val="0"/>
          <w:numId w:val="27"/>
        </w:numPr>
      </w:pPr>
      <w:r w:rsidRPr="00B559F0">
        <w:t xml:space="preserve">l'utilizzo di risorse energetiche, distinguendo fra quelle prodotte da fonti rinnovabili e non rinnovabili, e l'impiego di risorse idriche; </w:t>
      </w:r>
    </w:p>
    <w:p w:rsidR="00A02F21" w:rsidRDefault="00B559F0" w:rsidP="00C17042">
      <w:pPr>
        <w:numPr>
          <w:ilvl w:val="0"/>
          <w:numId w:val="27"/>
        </w:numPr>
      </w:pPr>
      <w:r w:rsidRPr="00B559F0">
        <w:t xml:space="preserve">le emissioni di gas ad effetto serra e le emissioni inquinanti in atmosfera; </w:t>
      </w:r>
    </w:p>
    <w:p w:rsidR="00A02F21" w:rsidRDefault="00B559F0" w:rsidP="00C17042">
      <w:pPr>
        <w:numPr>
          <w:ilvl w:val="0"/>
          <w:numId w:val="27"/>
        </w:numPr>
      </w:pPr>
      <w:r w:rsidRPr="00B559F0">
        <w:t xml:space="preserve">l'impatto, ove possibile sulla base di ipotesi o scenari realistici anche a medio termine, sull'ambiente nonché sulla salute e la sicurezza, associato ai fattori di rischio che derivano dalle attività dell’ente ad altri rilevanti fattori di rischio ambientale e sanitario; </w:t>
      </w:r>
    </w:p>
    <w:p w:rsidR="00A02F21" w:rsidRDefault="00B559F0" w:rsidP="00C17042">
      <w:pPr>
        <w:numPr>
          <w:ilvl w:val="0"/>
          <w:numId w:val="27"/>
        </w:numPr>
      </w:pPr>
      <w:r w:rsidRPr="00B559F0">
        <w:t xml:space="preserve">aspetti sociali e attinenti alla gestione del personale, incluse le azioni poste in essere per garantire la parità di genere, le misure volte ad attuare le convenzioni di organizzazioni internazionali e sovranazionali in materia, e le modalità con cui è realizzato il dialogo con le parti sociali; </w:t>
      </w:r>
    </w:p>
    <w:p w:rsidR="00A02F21" w:rsidRDefault="00B559F0" w:rsidP="00311628">
      <w:pPr>
        <w:numPr>
          <w:ilvl w:val="0"/>
          <w:numId w:val="27"/>
        </w:numPr>
      </w:pPr>
      <w:r w:rsidRPr="00B559F0">
        <w:t xml:space="preserve">rispetto dei diritti umani, le misure adottate per prevenirne le violazioni, nonché le azioni poste in essere per impedire atteggiamenti ed azioni comunque discriminatori; </w:t>
      </w:r>
    </w:p>
    <w:p w:rsidR="003D4756" w:rsidRPr="0093026D" w:rsidRDefault="00B559F0" w:rsidP="00311628">
      <w:pPr>
        <w:numPr>
          <w:ilvl w:val="0"/>
          <w:numId w:val="27"/>
        </w:numPr>
      </w:pPr>
      <w:r w:rsidRPr="00B559F0">
        <w:t xml:space="preserve">lotta contro la corruzione sia attiva sia passiva, con indicazione degli strumenti a tal fine adottati. </w:t>
      </w:r>
    </w:p>
    <w:p w:rsidR="00C56B33" w:rsidRPr="00B559F0" w:rsidRDefault="00B559F0" w:rsidP="00311628">
      <w:r w:rsidRPr="00B559F0">
        <w:t>Si forniscono le informazioni sulle riunioni degli organi deputati alla gestione e all'approvazione del bilancio, con particolare riferimento al numero dei partecipanti, alle principali questioni trattate ed alle decisioni adottate nel corso delle riunioni.</w:t>
      </w:r>
      <w:r w:rsidR="00C56B33" w:rsidRPr="00B559F0">
        <w:t xml:space="preserve"> </w:t>
      </w:r>
      <w:r w:rsidR="003D4756" w:rsidRPr="00B559F0">
        <w:t xml:space="preserve"> </w:t>
      </w:r>
    </w:p>
    <w:p w:rsidR="003D4756" w:rsidRPr="005B5701" w:rsidRDefault="0057403D" w:rsidP="00C56B33">
      <w:pPr>
        <w:pStyle w:val="Titolo1"/>
        <w:rPr>
          <w:color w:val="000099"/>
        </w:rPr>
      </w:pPr>
      <w:r w:rsidRPr="005B5701">
        <w:rPr>
          <w:color w:val="000099"/>
        </w:rPr>
        <w:t>Monitoraggio svolto dall'Organo di Controllo (modalità di effettuazione ed esiti)</w:t>
      </w:r>
    </w:p>
    <w:p w:rsidR="00B559F0" w:rsidRPr="00B559F0" w:rsidRDefault="00B559F0" w:rsidP="00902E07">
      <w:r w:rsidRPr="00B559F0">
        <w:t>L’Organo di Controllo attesta di aver esercitato i compiti di monitoraggio sui seguenti aspetti:</w:t>
      </w:r>
    </w:p>
    <w:p w:rsidR="00B559F0" w:rsidRPr="00B559F0" w:rsidRDefault="00B559F0" w:rsidP="00902E07">
      <w:pPr>
        <w:numPr>
          <w:ilvl w:val="0"/>
          <w:numId w:val="11"/>
        </w:numPr>
      </w:pPr>
      <w:r w:rsidRPr="00B559F0">
        <w:t>svolgimento da parte dell'impresa, in via stabile e principale, delle attività di cui all'art. 2, comma 1 del D.Lgs. n. 112/2017 in conformità con le norme particolari che ne disciplinano l'esercizio;</w:t>
      </w:r>
    </w:p>
    <w:p w:rsidR="00B559F0" w:rsidRPr="00B559F0" w:rsidRDefault="00B559F0" w:rsidP="00902E07">
      <w:pPr>
        <w:numPr>
          <w:ilvl w:val="0"/>
          <w:numId w:val="11"/>
        </w:numPr>
      </w:pPr>
      <w:r w:rsidRPr="00B559F0">
        <w:t>perseguimento dell'assenza dello scopo di lucro, attraverso la destinazione di utili ed avanzi di gestione esclusivamente allo svolgimento dell'attività statutaria o all'incremento del patrimonio e l'osservanza del divieto di distribuzione anche indiretta di utili, avanzi di gestione, fondi e riserve a fondatori, soci, associati, lavoratori e collaboratori, amministratori ed altri componenti degli organi sociali, tenendo conto degli indici di cui all'art. 3, comma 2, lettere da a) a f) e fatta salva la possibilità di destinare parte degli utili ad aumenti gratuiti del capitale sociale o a erogazioni gratuite in favore di Enti del Terzo Settore ai sensi e con i limiti di cui all'art. 3, comma 3 del D.Lgs. n. 112/2017;</w:t>
      </w:r>
    </w:p>
    <w:p w:rsidR="00B559F0" w:rsidRPr="00B559F0" w:rsidRDefault="00B559F0" w:rsidP="00902E07">
      <w:pPr>
        <w:numPr>
          <w:ilvl w:val="0"/>
          <w:numId w:val="11"/>
        </w:numPr>
      </w:pPr>
      <w:r w:rsidRPr="00B559F0">
        <w:t>struttura proprietaria e disciplina dei gruppi, con particolare riferimento alle attività di direzione e coordinamento di un'impresa sociale da parte di soggetti di cui all'art. 4, comma 3 del D.Lgs. n. 112/2017;</w:t>
      </w:r>
    </w:p>
    <w:p w:rsidR="00B559F0" w:rsidRPr="00B559F0" w:rsidRDefault="00B559F0" w:rsidP="00902E07">
      <w:pPr>
        <w:numPr>
          <w:ilvl w:val="0"/>
          <w:numId w:val="11"/>
        </w:numPr>
      </w:pPr>
      <w:r w:rsidRPr="00B559F0">
        <w:t xml:space="preserve">coinvolgimento dei lavoratori degli utenti e di altri soggetti direttamente interessati alle attività, con riferimento sia alla presenza e al rispetto di eventuali disposizioni statutarie, sia alla esplicitazione delle forme e modalità di coinvolgimento in conformità alle Linee Guida ministeriali; </w:t>
      </w:r>
    </w:p>
    <w:p w:rsidR="00B559F0" w:rsidRPr="00B559F0" w:rsidRDefault="00B559F0" w:rsidP="00902E07">
      <w:pPr>
        <w:numPr>
          <w:ilvl w:val="0"/>
          <w:numId w:val="11"/>
        </w:numPr>
      </w:pPr>
      <w:r w:rsidRPr="00B559F0">
        <w:t xml:space="preserve">adeguatezza del trattamento economico e normativo dei lavoratori, tenuto conto dei contratti collettivi vigenti e rispetto del parametro di differenza retributiva massima di cui all'art. 13, comma 1 del D.Lgs. n. 112/2017; </w:t>
      </w:r>
    </w:p>
    <w:p w:rsidR="00D215E6" w:rsidRPr="00B559F0" w:rsidRDefault="00B559F0" w:rsidP="00902E07">
      <w:pPr>
        <w:numPr>
          <w:ilvl w:val="0"/>
          <w:numId w:val="11"/>
        </w:numPr>
      </w:pPr>
      <w:r w:rsidRPr="00B559F0">
        <w:t xml:space="preserve">rispetto delle prescrizioni relative ai volontari (tenuta di apposito registro, divieto di utilizzare un numero di volontari superiori a quello dei lavoratori, obblighi assicurativi). </w:t>
      </w:r>
    </w:p>
    <w:p w:rsidR="003D4756" w:rsidRPr="005B5701" w:rsidRDefault="0057403D" w:rsidP="00C56B33">
      <w:pPr>
        <w:pStyle w:val="Titolo1"/>
        <w:rPr>
          <w:color w:val="000099"/>
        </w:rPr>
      </w:pPr>
      <w:r w:rsidRPr="005B5701">
        <w:rPr>
          <w:color w:val="000099"/>
        </w:rPr>
        <w:t>Attestazione di conformità del bilancio sociale alle Linee Guida di cui al Decreto del Ministero del Lavoro e delle Politiche Sociali del 4 luglio 2019, redatta dall'Organo di Controllo ai sensi dell'art. 30, comma 7 del D.Lgs. n. 117/2017</w:t>
      </w:r>
    </w:p>
    <w:p w:rsidR="003D4756" w:rsidRPr="005B5701" w:rsidRDefault="0057403D" w:rsidP="002C1D5D">
      <w:pPr>
        <w:pStyle w:val="Titolo2"/>
        <w:rPr>
          <w:color w:val="000099"/>
        </w:rPr>
      </w:pPr>
      <w:r w:rsidRPr="005B5701">
        <w:rPr>
          <w:color w:val="000099"/>
        </w:rPr>
        <w:t>Identificazione e descrizione dell'oggetto dell'incarico e delle Linee Guida di riferimento</w:t>
      </w:r>
    </w:p>
    <w:p w:rsidR="003D4756" w:rsidRPr="00B559F0" w:rsidRDefault="00B559F0" w:rsidP="00311628">
      <w:r w:rsidRPr="00B559F0">
        <w:t xml:space="preserve">Nella presente attestazione, integrata nel bilancio sociale, si dà conto dell’attività di verifica espletata al fine di attestare secondo criteri di diligenza professionale la conformità del bilancio sociale alle previsioni (struttura, contenuti, principi di redazione) delle Linee Guida ministeriali per la redazione del bilancio sociale. </w:t>
      </w:r>
    </w:p>
    <w:p w:rsidR="003D4756" w:rsidRPr="00B559F0" w:rsidRDefault="00B559F0" w:rsidP="00311628">
      <w:r w:rsidRPr="00B559F0">
        <w:t xml:space="preserve">Ai sensi dell'art. 30, comma 7 del D.Lgs. 117/2017, l’Organo di Controllo attesta che il bilancio sociale sia stato redatto in conformità alle Linee Guida di cui all’art. 14, comma 1 del D.Lgs. 117/2017, adottate con Decreto del Ministro del Lavoro e delle Politiche Sociali del 4 luglio 2019. </w:t>
      </w:r>
    </w:p>
    <w:p w:rsidR="00294235" w:rsidRPr="00294235" w:rsidRDefault="00294235" w:rsidP="00DA4EF5">
      <w:r w:rsidRPr="00294235">
        <w:t>Le Linee Guida ministeriali per la redazione del bilancio sociale consentono autonomia di scelta da parte degli ETS in merito all’adozione della metodologia di rendicontazione e di eventuali standard di riferimento, prevedendo comunque un dettagliato elenco di sezioni e relative sotto-sezioni di informazioni dalla cui disclosure l’ETS non può prescindere.</w:t>
      </w:r>
    </w:p>
    <w:p w:rsidR="00C56B33" w:rsidRPr="00294235" w:rsidRDefault="00294235" w:rsidP="00311628">
      <w:r w:rsidRPr="00294235">
        <w:t xml:space="preserve">Nell’espletamento dell’attività di verifica sulla rendicontazione sociale, l’Organo di Controllo ha fatto riferimento all'International Standard on Assurance Engagements (ISAE) 3000, “Assurance Engagements Other than Audits or Reviews of Historical Financial Information”, emanato dall’International Federation of Accountants (IFAC), in vigore dal 1° gennaio 2005 e attualmente adottato nella versione “Revised, December 2013”. </w:t>
      </w:r>
    </w:p>
    <w:p w:rsidR="00D215E6" w:rsidRPr="00B559F0" w:rsidRDefault="00B559F0" w:rsidP="00311628">
      <w:r w:rsidRPr="00B559F0">
        <w:t xml:space="preserve">La responsabilità della redazione del bilancio sociale secondo le modalità e le tempistiche previste nelle norme che ne disciplinano la redazione compete all'Organo di Amministrazione dell'ente. </w:t>
      </w:r>
    </w:p>
    <w:p w:rsidR="00D215E6" w:rsidRPr="00B559F0" w:rsidRDefault="00B559F0" w:rsidP="00311628">
      <w:r w:rsidRPr="00B559F0">
        <w:t xml:space="preserve">L'Organo di Controllo ha la responsabilità di attestare, come previsto dall’ordinamento, la conformità del bilancio sociale alle Linee guida del Ministero del Lavoro e delle Politiche Sociali. All’Organo di Controllo compete inoltre di rilevare se il contenuto del bilancio sociale risulti manifestamente incoerente con i dati riportati nel bilancio d’esercizio e/o con le informazioni e i dati in suo possesso. </w:t>
      </w:r>
    </w:p>
    <w:p w:rsidR="003D4756" w:rsidRPr="005B5701" w:rsidRDefault="0057403D" w:rsidP="00C56B33">
      <w:pPr>
        <w:pStyle w:val="Titolo2"/>
        <w:rPr>
          <w:color w:val="000099"/>
        </w:rPr>
      </w:pPr>
      <w:r w:rsidRPr="005B5701">
        <w:rPr>
          <w:color w:val="000099"/>
        </w:rPr>
        <w:t>Svolgimento delle verifiche, individuazione degli obiettivi e modalità di esecuzione degli accertamenti</w:t>
      </w:r>
    </w:p>
    <w:p w:rsidR="00B559F0" w:rsidRPr="00B559F0" w:rsidRDefault="00B559F0" w:rsidP="00017A78">
      <w:r w:rsidRPr="00B559F0">
        <w:t>L’obiettivo degli accertamenti eseguiti dall’Organo di Controllo è la verifica della rispondenza alle Linee Guida adottate con Decreto del Ministro del Lavoro e delle Politiche Sociali del 4 luglio 2019, tenendo conto di quanto previsto in materia dalle Norme di comportamento dell’organo di controllo degli enti del Terzo settore, pubblicate dal CNDCEC nel dicembre 2020, ed in particolare:</w:t>
      </w:r>
    </w:p>
    <w:p w:rsidR="00B559F0" w:rsidRPr="00B559F0" w:rsidRDefault="00B559F0" w:rsidP="00A02F21">
      <w:pPr>
        <w:numPr>
          <w:ilvl w:val="0"/>
          <w:numId w:val="12"/>
        </w:numPr>
      </w:pPr>
      <w:r w:rsidRPr="00B559F0">
        <w:t xml:space="preserve">la verifica della rispondenza della struttura del bilancio sociale rispetto all’articolazione per sezioni di cui al paragrafo 6; </w:t>
      </w:r>
    </w:p>
    <w:p w:rsidR="00B559F0" w:rsidRPr="00B559F0" w:rsidRDefault="00B559F0" w:rsidP="00A02F21">
      <w:pPr>
        <w:numPr>
          <w:ilvl w:val="0"/>
          <w:numId w:val="12"/>
        </w:numPr>
      </w:pPr>
      <w:r w:rsidRPr="00B559F0">
        <w:t xml:space="preserve">la verifica della presenza nel bilancio sociale delle informazioni di cui alle specifiche sotto-sezioni esplicitamente previste al paragrafo 6; </w:t>
      </w:r>
    </w:p>
    <w:p w:rsidR="00B559F0" w:rsidRPr="00B559F0" w:rsidRDefault="00B559F0" w:rsidP="00A02F21">
      <w:pPr>
        <w:numPr>
          <w:ilvl w:val="0"/>
          <w:numId w:val="12"/>
        </w:numPr>
      </w:pPr>
      <w:r w:rsidRPr="00B559F0">
        <w:t xml:space="preserve">eventualmente, l’indicazione dei motivi per i quali specifiche sezioni o sotto-sezioni di cui al paragrafo 6 delle Linee Guida siano state omesse; </w:t>
      </w:r>
    </w:p>
    <w:p w:rsidR="00D215E6" w:rsidRPr="00B559F0" w:rsidRDefault="00B559F0" w:rsidP="00A02F21">
      <w:pPr>
        <w:numPr>
          <w:ilvl w:val="0"/>
          <w:numId w:val="12"/>
        </w:numPr>
      </w:pPr>
      <w:r w:rsidRPr="00B559F0">
        <w:t xml:space="preserve">la verifica del rispetto dei principi di redazione di cui al paragrafo 5. </w:t>
      </w:r>
    </w:p>
    <w:p w:rsidR="00294235" w:rsidRPr="00294235" w:rsidRDefault="00294235" w:rsidP="00B903F6">
      <w:r w:rsidRPr="00294235">
        <w:t>L’Organo di Controllo ha seguito un iter di verifica articolato nelle seguenti attività:</w:t>
      </w:r>
    </w:p>
    <w:p w:rsidR="00A02F21" w:rsidRDefault="00294235" w:rsidP="00B903F6">
      <w:pPr>
        <w:numPr>
          <w:ilvl w:val="0"/>
          <w:numId w:val="28"/>
        </w:numPr>
      </w:pPr>
      <w:r w:rsidRPr="00294235">
        <w:t>selezione del soggetto o del gruppo di verifica;</w:t>
      </w:r>
    </w:p>
    <w:p w:rsidR="00A02F21" w:rsidRDefault="00294235" w:rsidP="00B903F6">
      <w:pPr>
        <w:numPr>
          <w:ilvl w:val="0"/>
          <w:numId w:val="28"/>
        </w:numPr>
      </w:pPr>
      <w:r w:rsidRPr="00294235">
        <w:t>reperimento documentale;</w:t>
      </w:r>
    </w:p>
    <w:p w:rsidR="00A02F21" w:rsidRDefault="00294235" w:rsidP="00B903F6">
      <w:pPr>
        <w:numPr>
          <w:ilvl w:val="0"/>
          <w:numId w:val="28"/>
        </w:numPr>
      </w:pPr>
      <w:r w:rsidRPr="00294235">
        <w:t>visite on-site, con interviste dei rappresentanti dell’ETS e di altri stakeholder;</w:t>
      </w:r>
    </w:p>
    <w:p w:rsidR="00A02F21" w:rsidRDefault="00294235" w:rsidP="00B903F6">
      <w:pPr>
        <w:numPr>
          <w:ilvl w:val="0"/>
          <w:numId w:val="28"/>
        </w:numPr>
      </w:pPr>
      <w:r w:rsidRPr="00294235">
        <w:t>verifica incrociata tra le informazioni fornite nel bilancio sociale e i dati provenienti da altre fonti;</w:t>
      </w:r>
    </w:p>
    <w:p w:rsidR="00A02F21" w:rsidRDefault="00294235" w:rsidP="00311628">
      <w:pPr>
        <w:numPr>
          <w:ilvl w:val="0"/>
          <w:numId w:val="28"/>
        </w:numPr>
      </w:pPr>
      <w:r w:rsidRPr="00294235">
        <w:t xml:space="preserve">condivisione della bozza dell’attestazione di conformità con i rappresentanti dell’ETS e revisione del documento a seguito delle integrazioni ricevute; </w:t>
      </w:r>
    </w:p>
    <w:p w:rsidR="003D4756" w:rsidRPr="00294235" w:rsidRDefault="00294235" w:rsidP="00311628">
      <w:pPr>
        <w:numPr>
          <w:ilvl w:val="0"/>
          <w:numId w:val="28"/>
        </w:numPr>
      </w:pPr>
      <w:r w:rsidRPr="00294235">
        <w:t xml:space="preserve">attestazione finale. </w:t>
      </w:r>
    </w:p>
    <w:p w:rsidR="003D4756" w:rsidRPr="005B5701" w:rsidRDefault="0057403D" w:rsidP="00C56B33">
      <w:pPr>
        <w:pStyle w:val="Titolo2"/>
        <w:rPr>
          <w:color w:val="000099"/>
        </w:rPr>
      </w:pPr>
      <w:r w:rsidRPr="005B5701">
        <w:rPr>
          <w:color w:val="000099"/>
        </w:rPr>
        <w:t>Dichiarazione conclusiva con espressione del giudizio sull'attestazione</w:t>
      </w:r>
    </w:p>
    <w:p w:rsidR="003D4756" w:rsidRPr="00B559F0" w:rsidRDefault="00B559F0" w:rsidP="00311628">
      <w:r w:rsidRPr="00B559F0">
        <w:t xml:space="preserve">Sulla base delle procedure di verifica svolte e delle evidenze acquisite, l'Organo di Controllo attesta che il bilancio sociale è stato redatto, in tutti gli aspetti significativi, in conformità con le Linee Guida contenute nel D.M. del 4 luglio 2019, che ne stabiliscono le modalità di predisposizione. </w:t>
      </w:r>
    </w:p>
    <w:p w:rsidR="00294235" w:rsidRDefault="00294235" w:rsidP="00311628"/>
    <w:p w:rsidR="00D16EF9" w:rsidRDefault="00294235" w:rsidP="00311628">
      <w:r>
        <w:t>Dott. Cristian Perini</w:t>
      </w:r>
    </w:p>
    <w:p w:rsidR="00BD17E6" w:rsidRDefault="00294235" w:rsidP="00294235">
      <w:pPr>
        <w:jc w:val="center"/>
        <w:rPr>
          <w:i/>
        </w:rPr>
      </w:pPr>
      <w:r w:rsidRPr="00294235">
        <w:rPr>
          <w:i/>
        </w:rPr>
        <w:t>***</w:t>
      </w:r>
    </w:p>
    <w:p w:rsidR="00294235" w:rsidRDefault="00294235" w:rsidP="00294235">
      <w:pPr>
        <w:rPr>
          <w:i/>
        </w:rPr>
      </w:pPr>
    </w:p>
    <w:p w:rsidR="00294235" w:rsidRPr="00294235" w:rsidRDefault="00294235" w:rsidP="00294235">
      <w:pPr>
        <w:rPr>
          <w:i/>
        </w:rPr>
      </w:pPr>
    </w:p>
    <w:p w:rsidR="00D16EF9" w:rsidRDefault="00B559F0" w:rsidP="00311628">
      <w:r w:rsidRPr="00B559F0">
        <w:t>Mogliano Veneto (TV)</w:t>
      </w:r>
      <w:r w:rsidR="00A02F21">
        <w:t>,</w:t>
      </w:r>
      <w:r w:rsidR="00D16EF9" w:rsidRPr="00D16EF9">
        <w:t xml:space="preserve"> </w:t>
      </w:r>
      <w:r w:rsidRPr="00B559F0">
        <w:t>31/03/2026</w:t>
      </w:r>
      <w:r w:rsidR="00D16EF9">
        <w:t xml:space="preserve"> </w:t>
      </w:r>
    </w:p>
    <w:p w:rsidR="002A65E7" w:rsidRDefault="002A65E7" w:rsidP="00311628">
      <w:pPr>
        <w:rPr>
          <w:b/>
        </w:rPr>
      </w:pPr>
    </w:p>
    <w:p w:rsidR="00A02F21" w:rsidRPr="002A65E7" w:rsidRDefault="00A02F21" w:rsidP="00311628">
      <w:pPr>
        <w:rPr>
          <w:b/>
        </w:rPr>
      </w:pPr>
      <w:r>
        <w:rPr>
          <w:b/>
        </w:rPr>
        <w:t>Per il Consiglio di Amministrazione</w:t>
      </w:r>
    </w:p>
    <w:p w:rsidR="002A65E7" w:rsidRPr="00A02F21" w:rsidRDefault="002A65E7" w:rsidP="00311628">
      <w:r w:rsidRPr="00A02F21">
        <w:t>Grandis Angela Teresa, Presidente</w:t>
      </w:r>
    </w:p>
    <w:p w:rsidR="002A65E7" w:rsidRPr="003D4756" w:rsidRDefault="002A65E7" w:rsidP="00311628"/>
    <w:sectPr w:rsidR="002A65E7" w:rsidRPr="003D4756">
      <w:headerReference w:type="default" r:id="rId8"/>
      <w:footerReference w:type="default" r:id="rId9"/>
      <w:footerReference w:type="first" r:id="rId10"/>
      <w:pgSz w:w="11907" w:h="16839"/>
      <w:pgMar w:top="578" w:right="845" w:bottom="578" w:left="1191" w:header="720" w:footer="95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FE4" w:rsidRDefault="006E1FE4">
      <w:r>
        <w:separator/>
      </w:r>
    </w:p>
    <w:p w:rsidR="006E1FE4" w:rsidRDefault="006E1FE4"/>
    <w:p w:rsidR="006E1FE4" w:rsidRDefault="006E1FE4"/>
  </w:endnote>
  <w:endnote w:type="continuationSeparator" w:id="0">
    <w:p w:rsidR="006E1FE4" w:rsidRDefault="006E1FE4">
      <w:r>
        <w:continuationSeparator/>
      </w:r>
    </w:p>
    <w:p w:rsidR="006E1FE4" w:rsidRDefault="006E1FE4"/>
    <w:p w:rsidR="006E1FE4" w:rsidRDefault="006E1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806" w:rsidRDefault="006C6806">
    <w:pPr>
      <w:rPr>
        <w:sz w:val="16"/>
      </w:rPr>
    </w:pPr>
  </w:p>
  <w:p w:rsidR="006C6806" w:rsidRDefault="006C6806">
    <w:pPr>
      <w:rPr>
        <w:sz w:val="16"/>
      </w:rPr>
    </w:pPr>
  </w:p>
  <w:tbl>
    <w:tblPr>
      <w:tblW w:w="0" w:type="auto"/>
      <w:tblCellMar>
        <w:left w:w="70" w:type="dxa"/>
        <w:right w:w="70" w:type="dxa"/>
      </w:tblCellMar>
      <w:tblLook w:val="0000" w:firstRow="0" w:lastRow="0" w:firstColumn="0" w:lastColumn="0" w:noHBand="0" w:noVBand="0"/>
    </w:tblPr>
    <w:tblGrid>
      <w:gridCol w:w="5005"/>
      <w:gridCol w:w="5006"/>
    </w:tblGrid>
    <w:tr w:rsidR="006C6806">
      <w:tc>
        <w:tcPr>
          <w:tcW w:w="5005" w:type="dxa"/>
        </w:tcPr>
        <w:p w:rsidR="006C6806" w:rsidRDefault="00861352">
          <w:pPr>
            <w:pStyle w:val="Pidipagina"/>
            <w:rPr>
              <w:rStyle w:val="Rimandocommento"/>
            </w:rPr>
          </w:pPr>
          <w:r>
            <w:rPr>
              <w:rStyle w:val="Rimandocommento"/>
            </w:rPr>
            <w:t>Bilancio sociale</w:t>
          </w:r>
        </w:p>
      </w:tc>
      <w:tc>
        <w:tcPr>
          <w:tcW w:w="5006" w:type="dxa"/>
        </w:tcPr>
        <w:p w:rsidR="006C6806" w:rsidRDefault="006C6806">
          <w:pPr>
            <w:pStyle w:val="Pidipagina"/>
            <w:jc w:val="right"/>
            <w:rPr>
              <w:rStyle w:val="Rimandocommento"/>
              <w:b/>
              <w:bCs/>
            </w:rPr>
          </w:pPr>
          <w:r>
            <w:rPr>
              <w:rStyle w:val="Numeropagina"/>
              <w:b w:val="0"/>
              <w:bCs/>
            </w:rPr>
            <w:fldChar w:fldCharType="begin"/>
          </w:r>
          <w:r>
            <w:rPr>
              <w:rStyle w:val="Numeropagina"/>
              <w:b w:val="0"/>
              <w:bCs/>
            </w:rPr>
            <w:instrText xml:space="preserve"> PAGE </w:instrText>
          </w:r>
          <w:r>
            <w:rPr>
              <w:rStyle w:val="Numeropagina"/>
              <w:b w:val="0"/>
              <w:bCs/>
            </w:rPr>
            <w:fldChar w:fldCharType="separate"/>
          </w:r>
          <w:r w:rsidR="00C95E15">
            <w:rPr>
              <w:rStyle w:val="Numeropagina"/>
              <w:b w:val="0"/>
              <w:bCs/>
              <w:noProof/>
            </w:rPr>
            <w:t>4</w:t>
          </w:r>
          <w:r>
            <w:rPr>
              <w:rStyle w:val="Numeropagina"/>
              <w:b w:val="0"/>
              <w:bCs/>
            </w:rPr>
            <w:fldChar w:fldCharType="end"/>
          </w:r>
        </w:p>
      </w:tc>
    </w:tr>
  </w:tbl>
  <w:p w:rsidR="006C6806" w:rsidRDefault="006C680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806" w:rsidRDefault="006C6806">
    <w:pPr>
      <w:rPr>
        <w:sz w:val="16"/>
      </w:rPr>
    </w:pPr>
  </w:p>
  <w:p w:rsidR="006C6806" w:rsidRDefault="006C6806">
    <w:pPr>
      <w:rPr>
        <w:sz w:val="16"/>
      </w:rPr>
    </w:pPr>
  </w:p>
  <w:tbl>
    <w:tblPr>
      <w:tblW w:w="0" w:type="auto"/>
      <w:tblCellMar>
        <w:left w:w="70" w:type="dxa"/>
        <w:right w:w="70" w:type="dxa"/>
      </w:tblCellMar>
      <w:tblLook w:val="0000" w:firstRow="0" w:lastRow="0" w:firstColumn="0" w:lastColumn="0" w:noHBand="0" w:noVBand="0"/>
    </w:tblPr>
    <w:tblGrid>
      <w:gridCol w:w="5005"/>
      <w:gridCol w:w="5006"/>
    </w:tblGrid>
    <w:tr w:rsidR="006C6806">
      <w:tc>
        <w:tcPr>
          <w:tcW w:w="5005" w:type="dxa"/>
        </w:tcPr>
        <w:p w:rsidR="006C6806" w:rsidRDefault="00861352">
          <w:pPr>
            <w:pStyle w:val="Pidipagina"/>
            <w:rPr>
              <w:rStyle w:val="Rimandocommento"/>
            </w:rPr>
          </w:pPr>
          <w:r>
            <w:rPr>
              <w:rStyle w:val="Rimandocommento"/>
            </w:rPr>
            <w:t>Bilancio sociale</w:t>
          </w:r>
          <w:r w:rsidR="005B5701">
            <w:rPr>
              <w:rStyle w:val="Rimandocommento"/>
            </w:rPr>
            <w:t xml:space="preserve"> al 31/12/2025</w:t>
          </w:r>
        </w:p>
      </w:tc>
      <w:tc>
        <w:tcPr>
          <w:tcW w:w="5006" w:type="dxa"/>
        </w:tcPr>
        <w:p w:rsidR="006C6806" w:rsidRDefault="006C6806">
          <w:pPr>
            <w:jc w:val="right"/>
            <w:rPr>
              <w:rStyle w:val="Rimandocommento"/>
            </w:rPr>
          </w:pPr>
          <w:r>
            <w:rPr>
              <w:rStyle w:val="Rimandocommento"/>
              <w:rFonts w:ascii="Arial" w:hAnsi="Arial" w:cs="Arial"/>
            </w:rPr>
            <w:fldChar w:fldCharType="begin"/>
          </w:r>
          <w:r>
            <w:rPr>
              <w:rStyle w:val="Rimandocommento"/>
              <w:rFonts w:ascii="Arial" w:hAnsi="Arial" w:cs="Arial"/>
            </w:rPr>
            <w:instrText xml:space="preserve"> PAGE </w:instrText>
          </w:r>
          <w:r>
            <w:rPr>
              <w:rStyle w:val="Rimandocommento"/>
              <w:rFonts w:ascii="Arial" w:hAnsi="Arial" w:cs="Arial"/>
            </w:rPr>
            <w:fldChar w:fldCharType="separate"/>
          </w:r>
          <w:r w:rsidR="00C95E15">
            <w:rPr>
              <w:rStyle w:val="Rimandocommento"/>
              <w:rFonts w:ascii="Arial" w:hAnsi="Arial" w:cs="Arial"/>
              <w:noProof/>
            </w:rPr>
            <w:t>1</w:t>
          </w:r>
          <w:r>
            <w:rPr>
              <w:rStyle w:val="Rimandocommento"/>
              <w:rFonts w:ascii="Arial" w:hAnsi="Arial" w:cs="Arial"/>
            </w:rPr>
            <w:fldChar w:fldCharType="end"/>
          </w:r>
        </w:p>
      </w:tc>
    </w:tr>
  </w:tbl>
  <w:p w:rsidR="006C6806" w:rsidRDefault="006C6806">
    <w:pPr>
      <w:pStyle w:val="Pidipagina"/>
      <w:rPr>
        <w:rStyle w:val="Numeropagina"/>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FE4" w:rsidRDefault="006E1FE4">
      <w:r>
        <w:separator/>
      </w:r>
    </w:p>
    <w:p w:rsidR="006E1FE4" w:rsidRDefault="006E1FE4"/>
    <w:p w:rsidR="006E1FE4" w:rsidRDefault="006E1FE4"/>
  </w:footnote>
  <w:footnote w:type="continuationSeparator" w:id="0">
    <w:p w:rsidR="006E1FE4" w:rsidRDefault="006E1FE4">
      <w:r>
        <w:continuationSeparator/>
      </w:r>
    </w:p>
    <w:p w:rsidR="006E1FE4" w:rsidRDefault="006E1FE4"/>
    <w:p w:rsidR="006E1FE4" w:rsidRDefault="006E1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5005"/>
      <w:gridCol w:w="5006"/>
    </w:tblGrid>
    <w:tr w:rsidR="006C6806">
      <w:tc>
        <w:tcPr>
          <w:tcW w:w="5005" w:type="dxa"/>
        </w:tcPr>
        <w:p w:rsidR="006C6806" w:rsidRPr="00B559F0" w:rsidRDefault="009A22DA">
          <w:pPr>
            <w:pStyle w:val="Intestazione"/>
            <w:rPr>
              <w:rStyle w:val="Rimandocommento"/>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3.5pt;height:43.5pt;visibility:visible;mso-wrap-style:square">
                <v:imagedata r:id="rId1" o:title=""/>
              </v:shape>
            </w:pict>
          </w:r>
        </w:p>
      </w:tc>
      <w:tc>
        <w:tcPr>
          <w:tcW w:w="5006" w:type="dxa"/>
        </w:tcPr>
        <w:p w:rsidR="006C6806" w:rsidRDefault="00861352">
          <w:pPr>
            <w:pStyle w:val="Intestazione"/>
            <w:jc w:val="right"/>
            <w:rPr>
              <w:rStyle w:val="Rimandocommento"/>
            </w:rPr>
          </w:pPr>
          <w:r>
            <w:rPr>
              <w:rStyle w:val="Rimandocommento"/>
            </w:rPr>
            <w:t xml:space="preserve">Bilancio </w:t>
          </w:r>
          <w:r w:rsidR="00A02F21">
            <w:rPr>
              <w:rStyle w:val="Rimandocommento"/>
            </w:rPr>
            <w:t xml:space="preserve">sociale </w:t>
          </w:r>
          <w:r>
            <w:rPr>
              <w:rStyle w:val="Rimandocommento"/>
            </w:rPr>
            <w:t xml:space="preserve">al </w:t>
          </w:r>
          <w:r w:rsidR="00B559F0" w:rsidRPr="00B559F0">
            <w:rPr>
              <w:rStyle w:val="Rimandocommento"/>
            </w:rPr>
            <w:t>31/12/2025</w:t>
          </w:r>
        </w:p>
      </w:tc>
    </w:tr>
  </w:tbl>
  <w:p w:rsidR="006C6806" w:rsidRDefault="006C6806">
    <w:pPr>
      <w:pStyle w:val="Intestazione"/>
      <w:rPr>
        <w:rFonts w:ascii="Times" w:hAnsi="Times"/>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pStyle w:val="Puntoelenco"/>
      <w:lvlText w:val="*"/>
      <w:lvlJc w:val="left"/>
    </w:lvl>
  </w:abstractNum>
  <w:abstractNum w:abstractNumId="1" w15:restartNumberingAfterBreak="0">
    <w:nsid w:val="04B011E0"/>
    <w:multiLevelType w:val="hybridMultilevel"/>
    <w:tmpl w:val="EBF25F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F30809"/>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77659B"/>
    <w:multiLevelType w:val="hybridMultilevel"/>
    <w:tmpl w:val="FFFFFFFF"/>
    <w:lvl w:ilvl="0" w:tplc="04100003">
      <w:start w:val="1"/>
      <w:numFmt w:val="bullet"/>
      <w:lvlText w:val="o"/>
      <w:lvlJc w:val="left"/>
      <w:pPr>
        <w:ind w:left="1423" w:hanging="360"/>
      </w:pPr>
      <w:rPr>
        <w:rFonts w:ascii="Courier New" w:hAnsi="Courier New" w:hint="default"/>
      </w:rPr>
    </w:lvl>
    <w:lvl w:ilvl="1" w:tplc="04100003" w:tentative="1">
      <w:start w:val="1"/>
      <w:numFmt w:val="bullet"/>
      <w:lvlText w:val="o"/>
      <w:lvlJc w:val="left"/>
      <w:pPr>
        <w:ind w:left="2143" w:hanging="360"/>
      </w:pPr>
      <w:rPr>
        <w:rFonts w:ascii="Courier New" w:hAnsi="Courier New" w:hint="default"/>
      </w:rPr>
    </w:lvl>
    <w:lvl w:ilvl="2" w:tplc="04100005" w:tentative="1">
      <w:start w:val="1"/>
      <w:numFmt w:val="bullet"/>
      <w:lvlText w:val=""/>
      <w:lvlJc w:val="left"/>
      <w:pPr>
        <w:ind w:left="2863" w:hanging="360"/>
      </w:pPr>
      <w:rPr>
        <w:rFonts w:ascii="Wingdings" w:hAnsi="Wingdings" w:hint="default"/>
      </w:rPr>
    </w:lvl>
    <w:lvl w:ilvl="3" w:tplc="04100001" w:tentative="1">
      <w:start w:val="1"/>
      <w:numFmt w:val="bullet"/>
      <w:lvlText w:val=""/>
      <w:lvlJc w:val="left"/>
      <w:pPr>
        <w:ind w:left="3583" w:hanging="360"/>
      </w:pPr>
      <w:rPr>
        <w:rFonts w:ascii="Symbol" w:hAnsi="Symbol" w:hint="default"/>
      </w:rPr>
    </w:lvl>
    <w:lvl w:ilvl="4" w:tplc="04100003" w:tentative="1">
      <w:start w:val="1"/>
      <w:numFmt w:val="bullet"/>
      <w:lvlText w:val="o"/>
      <w:lvlJc w:val="left"/>
      <w:pPr>
        <w:ind w:left="4303" w:hanging="360"/>
      </w:pPr>
      <w:rPr>
        <w:rFonts w:ascii="Courier New" w:hAnsi="Courier New" w:hint="default"/>
      </w:rPr>
    </w:lvl>
    <w:lvl w:ilvl="5" w:tplc="04100005" w:tentative="1">
      <w:start w:val="1"/>
      <w:numFmt w:val="bullet"/>
      <w:lvlText w:val=""/>
      <w:lvlJc w:val="left"/>
      <w:pPr>
        <w:ind w:left="5023" w:hanging="360"/>
      </w:pPr>
      <w:rPr>
        <w:rFonts w:ascii="Wingdings" w:hAnsi="Wingdings" w:hint="default"/>
      </w:rPr>
    </w:lvl>
    <w:lvl w:ilvl="6" w:tplc="04100001" w:tentative="1">
      <w:start w:val="1"/>
      <w:numFmt w:val="bullet"/>
      <w:lvlText w:val=""/>
      <w:lvlJc w:val="left"/>
      <w:pPr>
        <w:ind w:left="5743" w:hanging="360"/>
      </w:pPr>
      <w:rPr>
        <w:rFonts w:ascii="Symbol" w:hAnsi="Symbol" w:hint="default"/>
      </w:rPr>
    </w:lvl>
    <w:lvl w:ilvl="7" w:tplc="04100003" w:tentative="1">
      <w:start w:val="1"/>
      <w:numFmt w:val="bullet"/>
      <w:lvlText w:val="o"/>
      <w:lvlJc w:val="left"/>
      <w:pPr>
        <w:ind w:left="6463" w:hanging="360"/>
      </w:pPr>
      <w:rPr>
        <w:rFonts w:ascii="Courier New" w:hAnsi="Courier New" w:hint="default"/>
      </w:rPr>
    </w:lvl>
    <w:lvl w:ilvl="8" w:tplc="04100005" w:tentative="1">
      <w:start w:val="1"/>
      <w:numFmt w:val="bullet"/>
      <w:lvlText w:val=""/>
      <w:lvlJc w:val="left"/>
      <w:pPr>
        <w:ind w:left="7183" w:hanging="360"/>
      </w:pPr>
      <w:rPr>
        <w:rFonts w:ascii="Wingdings" w:hAnsi="Wingdings" w:hint="default"/>
      </w:rPr>
    </w:lvl>
  </w:abstractNum>
  <w:abstractNum w:abstractNumId="4" w15:restartNumberingAfterBreak="0">
    <w:nsid w:val="079D3408"/>
    <w:multiLevelType w:val="hybridMultilevel"/>
    <w:tmpl w:val="8514E9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A7B4D54"/>
    <w:multiLevelType w:val="hybridMultilevel"/>
    <w:tmpl w:val="C67ADF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8B3202"/>
    <w:multiLevelType w:val="hybridMultilevel"/>
    <w:tmpl w:val="8482ED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3C7157"/>
    <w:multiLevelType w:val="hybridMultilevel"/>
    <w:tmpl w:val="EA1C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165D85"/>
    <w:multiLevelType w:val="hybridMultilevel"/>
    <w:tmpl w:val="FFFFFFFF"/>
    <w:lvl w:ilvl="0" w:tplc="04100003">
      <w:start w:val="1"/>
      <w:numFmt w:val="bullet"/>
      <w:lvlText w:val="o"/>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212D7854"/>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BD40C9"/>
    <w:multiLevelType w:val="hybridMultilevel"/>
    <w:tmpl w:val="215875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04435E"/>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6F3ECF"/>
    <w:multiLevelType w:val="hybridMultilevel"/>
    <w:tmpl w:val="906261B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3" w15:restartNumberingAfterBreak="0">
    <w:nsid w:val="2BCE4668"/>
    <w:multiLevelType w:val="hybridMultilevel"/>
    <w:tmpl w:val="AB5A13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29C437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C997F4E"/>
    <w:multiLevelType w:val="hybridMultilevel"/>
    <w:tmpl w:val="4740B0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F0736B4"/>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D0E4F8C"/>
    <w:multiLevelType w:val="hybridMultilevel"/>
    <w:tmpl w:val="F1B2C476"/>
    <w:lvl w:ilvl="0" w:tplc="A90CBFB4">
      <w:start w:val="25"/>
      <w:numFmt w:val="bullet"/>
      <w:lvlText w:val="-"/>
      <w:lvlJc w:val="left"/>
      <w:pPr>
        <w:ind w:left="720" w:hanging="360"/>
      </w:pPr>
      <w:rPr>
        <w:rFonts w:ascii="Cambria" w:eastAsia="Calibri"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E543245"/>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8EE6A0D"/>
    <w:multiLevelType w:val="hybridMultilevel"/>
    <w:tmpl w:val="A2343A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9026007"/>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DC808EF"/>
    <w:multiLevelType w:val="hybridMultilevel"/>
    <w:tmpl w:val="C13EEF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1554344"/>
    <w:multiLevelType w:val="hybridMultilevel"/>
    <w:tmpl w:val="FFFFFFFF"/>
    <w:lvl w:ilvl="0" w:tplc="04100001">
      <w:start w:val="1"/>
      <w:numFmt w:val="bullet"/>
      <w:lvlText w:val=""/>
      <w:lvlJc w:val="left"/>
      <w:pPr>
        <w:ind w:left="1065" w:hanging="705"/>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79051A4"/>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B600A6E"/>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E503A90"/>
    <w:multiLevelType w:val="hybridMultilevel"/>
    <w:tmpl w:val="03AEA56E"/>
    <w:lvl w:ilvl="0" w:tplc="16CAA4E2">
      <w:numFmt w:val="bullet"/>
      <w:lvlText w:val="-"/>
      <w:lvlJc w:val="left"/>
      <w:pPr>
        <w:ind w:left="720" w:hanging="360"/>
      </w:pPr>
      <w:rPr>
        <w:rFonts w:ascii="Cambria" w:eastAsiaTheme="minorEastAsia"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F7663A6"/>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EDF7E02"/>
    <w:multiLevelType w:val="hybridMultilevel"/>
    <w:tmpl w:val="FFFFFFFF"/>
    <w:lvl w:ilvl="0" w:tplc="04100001">
      <w:start w:val="1"/>
      <w:numFmt w:val="bullet"/>
      <w:lvlText w:val=""/>
      <w:lvlJc w:val="left"/>
      <w:pPr>
        <w:ind w:left="1065" w:hanging="705"/>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Puntoelenco"/>
        <w:lvlText w:val=""/>
        <w:legacy w:legacy="1" w:legacySpace="0" w:legacyIndent="360"/>
        <w:lvlJc w:val="left"/>
        <w:pPr>
          <w:ind w:left="1800" w:hanging="360"/>
        </w:pPr>
        <w:rPr>
          <w:rFonts w:ascii="Symbol" w:hAnsi="Symbol" w:hint="default"/>
          <w:sz w:val="22"/>
        </w:rPr>
      </w:lvl>
    </w:lvlOverride>
  </w:num>
  <w:num w:numId="2">
    <w:abstractNumId w:val="11"/>
  </w:num>
  <w:num w:numId="3">
    <w:abstractNumId w:val="23"/>
  </w:num>
  <w:num w:numId="4">
    <w:abstractNumId w:val="22"/>
  </w:num>
  <w:num w:numId="5">
    <w:abstractNumId w:val="27"/>
  </w:num>
  <w:num w:numId="6">
    <w:abstractNumId w:val="16"/>
  </w:num>
  <w:num w:numId="7">
    <w:abstractNumId w:val="26"/>
  </w:num>
  <w:num w:numId="8">
    <w:abstractNumId w:val="3"/>
  </w:num>
  <w:num w:numId="9">
    <w:abstractNumId w:val="8"/>
  </w:num>
  <w:num w:numId="10">
    <w:abstractNumId w:val="20"/>
  </w:num>
  <w:num w:numId="11">
    <w:abstractNumId w:val="2"/>
  </w:num>
  <w:num w:numId="12">
    <w:abstractNumId w:val="9"/>
  </w:num>
  <w:num w:numId="13">
    <w:abstractNumId w:val="18"/>
  </w:num>
  <w:num w:numId="14">
    <w:abstractNumId w:val="24"/>
  </w:num>
  <w:num w:numId="15">
    <w:abstractNumId w:val="14"/>
  </w:num>
  <w:num w:numId="16">
    <w:abstractNumId w:val="12"/>
  </w:num>
  <w:num w:numId="17">
    <w:abstractNumId w:val="10"/>
  </w:num>
  <w:num w:numId="18">
    <w:abstractNumId w:val="5"/>
  </w:num>
  <w:num w:numId="19">
    <w:abstractNumId w:val="21"/>
  </w:num>
  <w:num w:numId="20">
    <w:abstractNumId w:val="15"/>
  </w:num>
  <w:num w:numId="21">
    <w:abstractNumId w:val="25"/>
  </w:num>
  <w:num w:numId="22">
    <w:abstractNumId w:val="13"/>
  </w:num>
  <w:num w:numId="23">
    <w:abstractNumId w:val="17"/>
  </w:num>
  <w:num w:numId="24">
    <w:abstractNumId w:val="6"/>
  </w:num>
  <w:num w:numId="25">
    <w:abstractNumId w:val="7"/>
  </w:num>
  <w:num w:numId="26">
    <w:abstractNumId w:val="1"/>
  </w:num>
  <w:num w:numId="27">
    <w:abstractNumId w:val="4"/>
  </w:num>
  <w:num w:numId="28">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efaultTabStop w:val="708"/>
  <w:hyphenationZone w:val="283"/>
  <w:drawingGridHorizontalSpacing w:val="24"/>
  <w:drawingGridVerticalSpacing w:val="65"/>
  <w:displayHorizontalDrawingGridEvery w:val="2"/>
  <w:noPunctuationKerning/>
  <w:characterSpacingControl w:val="doNotCompress"/>
  <w:hdrShapeDefaults>
    <o:shapedefaults v:ext="edit" spidmax="4098"/>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628"/>
    <w:rsid w:val="0000708F"/>
    <w:rsid w:val="00023EA9"/>
    <w:rsid w:val="0003589B"/>
    <w:rsid w:val="00041CFE"/>
    <w:rsid w:val="00055C06"/>
    <w:rsid w:val="00073370"/>
    <w:rsid w:val="000B07B6"/>
    <w:rsid w:val="000C6C39"/>
    <w:rsid w:val="000D4239"/>
    <w:rsid w:val="001074A2"/>
    <w:rsid w:val="00152C3B"/>
    <w:rsid w:val="001A25E5"/>
    <w:rsid w:val="00290EC2"/>
    <w:rsid w:val="00294235"/>
    <w:rsid w:val="002A65E7"/>
    <w:rsid w:val="002C1D5D"/>
    <w:rsid w:val="002D4880"/>
    <w:rsid w:val="002D7212"/>
    <w:rsid w:val="002F3608"/>
    <w:rsid w:val="00311628"/>
    <w:rsid w:val="003679D9"/>
    <w:rsid w:val="003761F7"/>
    <w:rsid w:val="00377A94"/>
    <w:rsid w:val="003D4756"/>
    <w:rsid w:val="003E1A32"/>
    <w:rsid w:val="003E33B9"/>
    <w:rsid w:val="00404FA0"/>
    <w:rsid w:val="004274AC"/>
    <w:rsid w:val="00453F8A"/>
    <w:rsid w:val="004661A9"/>
    <w:rsid w:val="0049212C"/>
    <w:rsid w:val="004B1074"/>
    <w:rsid w:val="004E32C0"/>
    <w:rsid w:val="004F7F4C"/>
    <w:rsid w:val="00523F67"/>
    <w:rsid w:val="005355BE"/>
    <w:rsid w:val="00567017"/>
    <w:rsid w:val="0057403D"/>
    <w:rsid w:val="005923DC"/>
    <w:rsid w:val="005B5701"/>
    <w:rsid w:val="005C3098"/>
    <w:rsid w:val="005C59CF"/>
    <w:rsid w:val="005D57DE"/>
    <w:rsid w:val="005F4961"/>
    <w:rsid w:val="00606C5A"/>
    <w:rsid w:val="006170BD"/>
    <w:rsid w:val="00642C86"/>
    <w:rsid w:val="00647117"/>
    <w:rsid w:val="00674022"/>
    <w:rsid w:val="0068279D"/>
    <w:rsid w:val="006C4A7F"/>
    <w:rsid w:val="006C6806"/>
    <w:rsid w:val="006E1FE4"/>
    <w:rsid w:val="0075218B"/>
    <w:rsid w:val="00786F2A"/>
    <w:rsid w:val="007916B4"/>
    <w:rsid w:val="0084009E"/>
    <w:rsid w:val="00842DEE"/>
    <w:rsid w:val="008464C3"/>
    <w:rsid w:val="00861352"/>
    <w:rsid w:val="00870B48"/>
    <w:rsid w:val="00875D1D"/>
    <w:rsid w:val="00891629"/>
    <w:rsid w:val="00896E8B"/>
    <w:rsid w:val="008A33E4"/>
    <w:rsid w:val="008C5265"/>
    <w:rsid w:val="00902E07"/>
    <w:rsid w:val="0093026D"/>
    <w:rsid w:val="0093177B"/>
    <w:rsid w:val="00942B9F"/>
    <w:rsid w:val="00961287"/>
    <w:rsid w:val="0098213B"/>
    <w:rsid w:val="009A22DA"/>
    <w:rsid w:val="00A02F21"/>
    <w:rsid w:val="00A630FF"/>
    <w:rsid w:val="00A674DD"/>
    <w:rsid w:val="00AB6602"/>
    <w:rsid w:val="00AF170D"/>
    <w:rsid w:val="00B559F0"/>
    <w:rsid w:val="00BC6273"/>
    <w:rsid w:val="00BD17E6"/>
    <w:rsid w:val="00BD5CA0"/>
    <w:rsid w:val="00BE3880"/>
    <w:rsid w:val="00C00402"/>
    <w:rsid w:val="00C03FB9"/>
    <w:rsid w:val="00C20DEB"/>
    <w:rsid w:val="00C45F48"/>
    <w:rsid w:val="00C56B33"/>
    <w:rsid w:val="00C630DF"/>
    <w:rsid w:val="00C70D29"/>
    <w:rsid w:val="00C843FF"/>
    <w:rsid w:val="00C95E15"/>
    <w:rsid w:val="00D12592"/>
    <w:rsid w:val="00D16EF9"/>
    <w:rsid w:val="00D201F6"/>
    <w:rsid w:val="00D215E6"/>
    <w:rsid w:val="00D378ED"/>
    <w:rsid w:val="00D515BB"/>
    <w:rsid w:val="00DA3867"/>
    <w:rsid w:val="00DA691D"/>
    <w:rsid w:val="00DA70F8"/>
    <w:rsid w:val="00DD4137"/>
    <w:rsid w:val="00E56D61"/>
    <w:rsid w:val="00EA5153"/>
    <w:rsid w:val="00F452BA"/>
    <w:rsid w:val="00F64BC3"/>
    <w:rsid w:val="00F75E0F"/>
    <w:rsid w:val="00FB03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qFormat="1"/>
    <w:lsdException w:name="page number"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DD4137"/>
    <w:pPr>
      <w:spacing w:line="360" w:lineRule="atLeast"/>
      <w:jc w:val="both"/>
    </w:pPr>
    <w:rPr>
      <w:rFonts w:ascii="Cambria" w:eastAsia="Calibri" w:hAnsi="Cambria"/>
      <w:color w:val="000000"/>
      <w:szCs w:val="22"/>
      <w:lang w:eastAsia="en-US"/>
    </w:rPr>
  </w:style>
  <w:style w:type="paragraph" w:styleId="Titolo1">
    <w:name w:val="heading 1"/>
    <w:basedOn w:val="Titolo"/>
    <w:next w:val="Normale"/>
    <w:link w:val="Titolo1Carattere"/>
    <w:uiPriority w:val="9"/>
    <w:qFormat/>
    <w:rsid w:val="0057403D"/>
    <w:pPr>
      <w:pBdr>
        <w:bottom w:val="single" w:sz="8" w:space="1" w:color="808080"/>
      </w:pBdr>
      <w:spacing w:before="600" w:after="240"/>
      <w:outlineLvl w:val="0"/>
    </w:pPr>
    <w:rPr>
      <w:rFonts w:eastAsia="Times New Roman"/>
      <w:b/>
      <w:bCs/>
      <w:sz w:val="40"/>
      <w:szCs w:val="28"/>
    </w:rPr>
  </w:style>
  <w:style w:type="paragraph" w:styleId="Titolo2">
    <w:name w:val="heading 2"/>
    <w:basedOn w:val="Titolo"/>
    <w:next w:val="Normale"/>
    <w:link w:val="Titolo2Carattere"/>
    <w:uiPriority w:val="9"/>
    <w:unhideWhenUsed/>
    <w:qFormat/>
    <w:rsid w:val="0057403D"/>
    <w:pPr>
      <w:pBdr>
        <w:bottom w:val="single" w:sz="6" w:space="1" w:color="BFBFBF"/>
      </w:pBdr>
      <w:spacing w:before="480" w:after="240"/>
      <w:outlineLvl w:val="1"/>
    </w:pPr>
    <w:rPr>
      <w:rFonts w:eastAsia="Times New Roman"/>
      <w:b/>
      <w:bCs/>
      <w:sz w:val="36"/>
      <w:szCs w:val="26"/>
    </w:rPr>
  </w:style>
  <w:style w:type="paragraph" w:styleId="Titolo3">
    <w:name w:val="heading 3"/>
    <w:basedOn w:val="Titolo"/>
    <w:next w:val="Normale"/>
    <w:link w:val="Titolo3Carattere"/>
    <w:uiPriority w:val="9"/>
    <w:unhideWhenUsed/>
    <w:qFormat/>
    <w:rsid w:val="0057403D"/>
    <w:pPr>
      <w:spacing w:before="480" w:after="180"/>
      <w:outlineLvl w:val="2"/>
    </w:pPr>
    <w:rPr>
      <w:rFonts w:eastAsia="Times New Roman"/>
      <w:b/>
      <w:bCs/>
      <w:sz w:val="32"/>
    </w:rPr>
  </w:style>
  <w:style w:type="paragraph" w:styleId="Titolo4">
    <w:name w:val="heading 4"/>
    <w:basedOn w:val="Titolo"/>
    <w:next w:val="Normale"/>
    <w:link w:val="Titolo4Carattere"/>
    <w:uiPriority w:val="9"/>
    <w:unhideWhenUsed/>
    <w:qFormat/>
    <w:rsid w:val="0057403D"/>
    <w:pPr>
      <w:spacing w:before="480" w:after="180"/>
      <w:outlineLvl w:val="3"/>
    </w:pPr>
    <w:rPr>
      <w:rFonts w:eastAsia="Times New Roman"/>
      <w:b/>
      <w:bCs/>
      <w:iCs/>
      <w:sz w:val="28"/>
    </w:rPr>
  </w:style>
  <w:style w:type="paragraph" w:styleId="Titolo5">
    <w:name w:val="heading 5"/>
    <w:basedOn w:val="Titolo"/>
    <w:next w:val="Normale"/>
    <w:link w:val="Titolo5Carattere"/>
    <w:uiPriority w:val="9"/>
    <w:unhideWhenUsed/>
    <w:qFormat/>
    <w:rsid w:val="0057403D"/>
    <w:pPr>
      <w:spacing w:before="360" w:after="120"/>
      <w:outlineLvl w:val="4"/>
    </w:pPr>
    <w:rPr>
      <w:rFonts w:eastAsia="Times New Roman"/>
      <w:b/>
      <w:sz w:val="26"/>
    </w:rPr>
  </w:style>
  <w:style w:type="paragraph" w:styleId="Titolo6">
    <w:name w:val="heading 6"/>
    <w:basedOn w:val="Titolo"/>
    <w:next w:val="Normale"/>
    <w:link w:val="Titolo6Carattere"/>
    <w:uiPriority w:val="9"/>
    <w:unhideWhenUsed/>
    <w:qFormat/>
    <w:rsid w:val="0057403D"/>
    <w:pPr>
      <w:spacing w:before="320" w:after="120"/>
      <w:outlineLvl w:val="5"/>
    </w:pPr>
    <w:rPr>
      <w:rFonts w:eastAsia="Times New Roman"/>
      <w:b/>
      <w:i/>
      <w:iCs/>
      <w:sz w:val="24"/>
    </w:rPr>
  </w:style>
  <w:style w:type="paragraph" w:styleId="Titolo7">
    <w:name w:val="heading 7"/>
    <w:basedOn w:val="Titolo"/>
    <w:next w:val="Normale"/>
    <w:link w:val="Titolo7Carattere"/>
    <w:uiPriority w:val="9"/>
    <w:unhideWhenUsed/>
    <w:qFormat/>
    <w:rsid w:val="0057403D"/>
    <w:pPr>
      <w:spacing w:before="280" w:after="60"/>
      <w:outlineLvl w:val="6"/>
    </w:pPr>
    <w:rPr>
      <w:rFonts w:eastAsia="Times New Roman"/>
      <w:iCs/>
      <w:sz w:val="24"/>
    </w:rPr>
  </w:style>
  <w:style w:type="paragraph" w:styleId="Titolo8">
    <w:name w:val="heading 8"/>
    <w:basedOn w:val="Titolo"/>
    <w:next w:val="Normale"/>
    <w:link w:val="Titolo8Carattere"/>
    <w:uiPriority w:val="9"/>
    <w:unhideWhenUsed/>
    <w:qFormat/>
    <w:rsid w:val="0057403D"/>
    <w:pPr>
      <w:spacing w:before="240" w:after="60"/>
      <w:outlineLvl w:val="7"/>
    </w:pPr>
    <w:rPr>
      <w:rFonts w:eastAsia="Times New Roman"/>
      <w:i/>
      <w:sz w:val="24"/>
      <w:szCs w:val="20"/>
    </w:rPr>
  </w:style>
  <w:style w:type="paragraph" w:styleId="Titolo9">
    <w:name w:val="heading 9"/>
    <w:basedOn w:val="Titolo"/>
    <w:next w:val="Normale"/>
    <w:link w:val="Titolo9Carattere"/>
    <w:uiPriority w:val="9"/>
    <w:unhideWhenUsed/>
    <w:qFormat/>
    <w:rsid w:val="0057403D"/>
    <w:pPr>
      <w:spacing w:before="240" w:after="60"/>
      <w:outlineLvl w:val="8"/>
    </w:pPr>
    <w:rPr>
      <w:rFonts w:eastAsia="Times New Roman"/>
      <w:i/>
      <w:i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aseTitolo">
    <w:name w:val="Base Titolo"/>
    <w:basedOn w:val="Normale"/>
    <w:next w:val="Normale"/>
    <w:pPr>
      <w:keepNext/>
      <w:keepLines/>
      <w:spacing w:before="140"/>
    </w:pPr>
    <w:rPr>
      <w:rFonts w:ascii="Arial" w:hAnsi="Arial"/>
      <w:spacing w:val="-4"/>
      <w:kern w:val="28"/>
      <w:sz w:val="22"/>
    </w:rPr>
  </w:style>
  <w:style w:type="paragraph" w:customStyle="1" w:styleId="Tabella">
    <w:name w:val="Tabella"/>
    <w:rsid w:val="0057403D"/>
    <w:pPr>
      <w:spacing w:before="20" w:after="20"/>
    </w:pPr>
    <w:rPr>
      <w:rFonts w:ascii="Calibri" w:eastAsia="Calibri" w:hAnsi="Calibri"/>
      <w:noProof/>
      <w:color w:val="000000"/>
      <w:sz w:val="18"/>
      <w:szCs w:val="22"/>
      <w:lang w:eastAsia="en-US"/>
    </w:rPr>
  </w:style>
  <w:style w:type="paragraph" w:customStyle="1" w:styleId="Corpodeltestocontinuo">
    <w:name w:val="Corpo del testo continuo"/>
    <w:basedOn w:val="Normale"/>
    <w:pPr>
      <w:keepNext/>
    </w:pPr>
  </w:style>
  <w:style w:type="paragraph" w:customStyle="1" w:styleId="BasePidipagina">
    <w:name w:val="Base Piè di pagina"/>
    <w:basedOn w:val="Normale"/>
    <w:pPr>
      <w:keepLines/>
    </w:pPr>
    <w:rPr>
      <w:sz w:val="18"/>
    </w:rPr>
  </w:style>
  <w:style w:type="paragraph" w:customStyle="1" w:styleId="Blocco">
    <w:name w:val="Blocco"/>
    <w:basedOn w:val="Normale"/>
    <w:pPr>
      <w:keepLines/>
      <w:pBdr>
        <w:left w:val="single" w:sz="36" w:space="3" w:color="808080"/>
        <w:bottom w:val="single" w:sz="48" w:space="3" w:color="FFFFFF"/>
      </w:pBdr>
      <w:spacing w:after="60"/>
      <w:ind w:left="1440" w:right="720"/>
    </w:pPr>
    <w:rPr>
      <w:i/>
    </w:rPr>
  </w:style>
  <w:style w:type="paragraph" w:styleId="Didascalia">
    <w:name w:val="caption"/>
    <w:basedOn w:val="Immagine"/>
    <w:next w:val="Normale"/>
    <w:qFormat/>
    <w:pPr>
      <w:spacing w:before="60" w:after="220"/>
      <w:ind w:left="1800"/>
    </w:pPr>
    <w:rPr>
      <w:i/>
      <w:sz w:val="18"/>
    </w:rPr>
  </w:style>
  <w:style w:type="paragraph" w:customStyle="1" w:styleId="Immagine">
    <w:name w:val="Immagine"/>
    <w:basedOn w:val="Normale"/>
    <w:next w:val="Didascalia"/>
    <w:pPr>
      <w:keepNext/>
    </w:pPr>
  </w:style>
  <w:style w:type="paragraph" w:customStyle="1" w:styleId="Etichettadocumento">
    <w:name w:val="Etichetta documento"/>
    <w:basedOn w:val="BaseTitolo"/>
    <w:next w:val="Normale"/>
    <w:pPr>
      <w:spacing w:before="160"/>
    </w:pPr>
    <w:rPr>
      <w:rFonts w:ascii="Times New Roman" w:hAnsi="Times New Roman"/>
      <w:spacing w:val="-30"/>
      <w:sz w:val="60"/>
    </w:rPr>
  </w:style>
  <w:style w:type="character" w:styleId="Rimandonotadichiusura">
    <w:name w:val="endnote reference"/>
    <w:semiHidden/>
    <w:rPr>
      <w:b/>
      <w:vertAlign w:val="superscript"/>
    </w:rPr>
  </w:style>
  <w:style w:type="paragraph" w:styleId="Testonotadichiusura">
    <w:name w:val="endnote text"/>
    <w:basedOn w:val="BasePidipagina"/>
    <w:semiHidden/>
  </w:style>
  <w:style w:type="paragraph" w:styleId="Pidipagina">
    <w:name w:val="footer"/>
    <w:basedOn w:val="BaseIntestazione"/>
  </w:style>
  <w:style w:type="paragraph" w:customStyle="1" w:styleId="BaseIntestazione">
    <w:name w:val="Base Intestazione"/>
    <w:basedOn w:val="Normale"/>
    <w:pPr>
      <w:keepLines/>
      <w:tabs>
        <w:tab w:val="center" w:pos="4320"/>
        <w:tab w:val="right" w:pos="8640"/>
      </w:tabs>
    </w:pPr>
    <w:rPr>
      <w:rFonts w:ascii="Arial" w:hAnsi="Arial"/>
      <w:spacing w:val="-4"/>
    </w:rPr>
  </w:style>
  <w:style w:type="character" w:styleId="Rimandonotaapidipagina">
    <w:name w:val="footnote reference"/>
    <w:semiHidden/>
    <w:rPr>
      <w:vertAlign w:val="superscript"/>
    </w:rPr>
  </w:style>
  <w:style w:type="paragraph" w:styleId="Testonotaapidipagina">
    <w:name w:val="footnote text"/>
    <w:basedOn w:val="BasePidipagina"/>
    <w:semiHidden/>
  </w:style>
  <w:style w:type="paragraph" w:styleId="Intestazione">
    <w:name w:val="header"/>
    <w:basedOn w:val="BaseIntestazione"/>
  </w:style>
  <w:style w:type="paragraph" w:styleId="Indice1">
    <w:name w:val="index 1"/>
    <w:basedOn w:val="BaseIndice"/>
    <w:semiHidden/>
    <w:pPr>
      <w:tabs>
        <w:tab w:val="right" w:pos="4080"/>
      </w:tabs>
      <w:ind w:hanging="360"/>
    </w:pPr>
  </w:style>
  <w:style w:type="paragraph" w:customStyle="1" w:styleId="BaseIndice">
    <w:name w:val="Base Indice"/>
    <w:basedOn w:val="Normale"/>
    <w:pPr>
      <w:ind w:left="360"/>
    </w:pPr>
  </w:style>
  <w:style w:type="paragraph" w:styleId="Indice2">
    <w:name w:val="index 2"/>
    <w:basedOn w:val="BaseIndice"/>
    <w:semiHidden/>
    <w:pPr>
      <w:tabs>
        <w:tab w:val="right" w:pos="4080"/>
      </w:tabs>
      <w:ind w:left="720" w:hanging="360"/>
    </w:pPr>
  </w:style>
  <w:style w:type="paragraph" w:styleId="Indice3">
    <w:name w:val="index 3"/>
    <w:basedOn w:val="BaseIndice"/>
    <w:semiHidden/>
    <w:pPr>
      <w:tabs>
        <w:tab w:val="right" w:pos="4080"/>
      </w:tabs>
      <w:ind w:left="720" w:hanging="360"/>
    </w:pPr>
  </w:style>
  <w:style w:type="paragraph" w:styleId="Indice4">
    <w:name w:val="index 4"/>
    <w:basedOn w:val="BaseIndice"/>
    <w:semiHidden/>
    <w:pPr>
      <w:tabs>
        <w:tab w:val="right" w:pos="4080"/>
      </w:tabs>
      <w:ind w:left="720" w:hanging="360"/>
    </w:pPr>
  </w:style>
  <w:style w:type="paragraph" w:styleId="Indice5">
    <w:name w:val="index 5"/>
    <w:basedOn w:val="BaseIndice"/>
    <w:semiHidden/>
    <w:pPr>
      <w:tabs>
        <w:tab w:val="right" w:pos="4080"/>
      </w:tabs>
      <w:ind w:left="720" w:hanging="360"/>
    </w:pPr>
  </w:style>
  <w:style w:type="paragraph" w:styleId="Titoloindice">
    <w:name w:val="index heading"/>
    <w:basedOn w:val="BaseTitolo"/>
    <w:next w:val="Indice1"/>
    <w:semiHidden/>
    <w:pPr>
      <w:keepLines w:val="0"/>
      <w:spacing w:before="440"/>
    </w:pPr>
    <w:rPr>
      <w:b/>
      <w:caps/>
      <w:spacing w:val="0"/>
      <w:kern w:val="0"/>
      <w:sz w:val="24"/>
    </w:rPr>
  </w:style>
  <w:style w:type="paragraph" w:customStyle="1" w:styleId="Titolosezione">
    <w:name w:val="Titolo sezione"/>
    <w:basedOn w:val="Titolo1"/>
  </w:style>
  <w:style w:type="character" w:customStyle="1" w:styleId="Inizioinevidenza">
    <w:name w:val="Inizio in evidenza"/>
    <w:rPr>
      <w:rFonts w:ascii="Arial" w:hAnsi="Arial"/>
      <w:b/>
      <w:spacing w:val="-4"/>
    </w:rPr>
  </w:style>
  <w:style w:type="character" w:styleId="Numeroriga">
    <w:name w:val="line number"/>
    <w:rPr>
      <w:sz w:val="18"/>
    </w:rPr>
  </w:style>
  <w:style w:type="paragraph" w:styleId="Elenco">
    <w:name w:val="List"/>
    <w:basedOn w:val="Normale"/>
    <w:pPr>
      <w:ind w:left="1440" w:hanging="360"/>
    </w:pPr>
  </w:style>
  <w:style w:type="paragraph" w:styleId="Puntoelenco">
    <w:name w:val="List Bullet"/>
    <w:basedOn w:val="Elenco"/>
    <w:pPr>
      <w:numPr>
        <w:numId w:val="1"/>
      </w:numPr>
      <w:ind w:right="720"/>
    </w:pPr>
  </w:style>
  <w:style w:type="paragraph" w:styleId="Numeroelenco">
    <w:name w:val="List Number"/>
    <w:basedOn w:val="Elenco"/>
    <w:pPr>
      <w:ind w:left="1800" w:right="720"/>
    </w:pPr>
  </w:style>
  <w:style w:type="character" w:styleId="Numeropagina">
    <w:name w:val="page number"/>
    <w:qFormat/>
    <w:rsid w:val="0057403D"/>
    <w:rPr>
      <w:rFonts w:ascii="Cambria" w:hAnsi="Cambria"/>
      <w:b/>
      <w:color w:val="000000"/>
      <w:sz w:val="16"/>
    </w:rPr>
  </w:style>
  <w:style w:type="paragraph" w:customStyle="1" w:styleId="Sottotitolofrontespizio">
    <w:name w:val="Sottotitolo frontespizio"/>
    <w:basedOn w:val="Titolofrontespizio"/>
    <w:next w:val="Normale"/>
    <w:pPr>
      <w:spacing w:before="1520"/>
      <w:ind w:right="1680"/>
    </w:pPr>
    <w:rPr>
      <w:rFonts w:ascii="Times New Roman" w:hAnsi="Times New Roman"/>
      <w:b w:val="0"/>
      <w:i/>
      <w:spacing w:val="-20"/>
      <w:sz w:val="40"/>
    </w:rPr>
  </w:style>
  <w:style w:type="paragraph" w:customStyle="1" w:styleId="Titolofrontespizio">
    <w:name w:val="Titolo frontespizio"/>
    <w:basedOn w:val="BaseTitolo"/>
    <w:next w:val="Sottotitolofrontespizio"/>
    <w:pPr>
      <w:spacing w:before="1800" w:line="240" w:lineRule="atLeast"/>
    </w:pPr>
    <w:rPr>
      <w:b/>
      <w:spacing w:val="-48"/>
      <w:sz w:val="72"/>
    </w:rPr>
  </w:style>
  <w:style w:type="character" w:customStyle="1" w:styleId="Apice">
    <w:name w:val="Apice"/>
    <w:rPr>
      <w:b/>
      <w:vertAlign w:val="superscript"/>
    </w:rPr>
  </w:style>
  <w:style w:type="paragraph" w:customStyle="1" w:styleId="BaseSommario">
    <w:name w:val="Base Sommario"/>
    <w:basedOn w:val="Normale"/>
    <w:pPr>
      <w:tabs>
        <w:tab w:val="right" w:leader="dot" w:pos="6480"/>
      </w:tabs>
      <w:spacing w:after="220"/>
    </w:pPr>
    <w:rPr>
      <w:rFonts w:ascii="Arial" w:hAnsi="Arial"/>
    </w:rPr>
  </w:style>
  <w:style w:type="paragraph" w:styleId="Indicedellefigure">
    <w:name w:val="table of figures"/>
    <w:basedOn w:val="BaseSommario"/>
    <w:semiHidden/>
    <w:pPr>
      <w:ind w:left="1440" w:hanging="360"/>
    </w:pPr>
  </w:style>
  <w:style w:type="paragraph" w:styleId="Sommario1">
    <w:name w:val="toc 1"/>
    <w:basedOn w:val="BaseSommario"/>
    <w:semiHidden/>
    <w:rPr>
      <w:b/>
      <w:spacing w:val="-4"/>
    </w:rPr>
  </w:style>
  <w:style w:type="paragraph" w:styleId="Sommario2">
    <w:name w:val="toc 2"/>
    <w:basedOn w:val="BaseSommario"/>
    <w:semiHidden/>
  </w:style>
  <w:style w:type="paragraph" w:styleId="Sommario3">
    <w:name w:val="toc 3"/>
    <w:basedOn w:val="BaseSommario"/>
    <w:semiHidden/>
  </w:style>
  <w:style w:type="paragraph" w:styleId="Sommario4">
    <w:name w:val="toc 4"/>
    <w:basedOn w:val="BaseSommario"/>
    <w:semiHidden/>
  </w:style>
  <w:style w:type="paragraph" w:styleId="Sommario5">
    <w:name w:val="toc 5"/>
    <w:basedOn w:val="BaseSommario"/>
    <w:semiHidden/>
  </w:style>
  <w:style w:type="paragraph" w:customStyle="1" w:styleId="Etichettasezione">
    <w:name w:val="Etichetta sezione"/>
    <w:basedOn w:val="BaseTitolo"/>
    <w:next w:val="Normale"/>
    <w:pPr>
      <w:spacing w:before="400" w:after="440"/>
    </w:pPr>
    <w:rPr>
      <w:rFonts w:ascii="Times New Roman" w:hAnsi="Times New Roman"/>
      <w:spacing w:val="-30"/>
      <w:sz w:val="60"/>
    </w:rPr>
  </w:style>
  <w:style w:type="paragraph" w:customStyle="1" w:styleId="Primopidipagina">
    <w:name w:val="Primo piè di pagina"/>
    <w:basedOn w:val="Pidipagina"/>
    <w:pPr>
      <w:pBdr>
        <w:bottom w:val="single" w:sz="6" w:space="1" w:color="auto"/>
      </w:pBdr>
      <w:spacing w:before="600"/>
    </w:pPr>
    <w:rPr>
      <w:b/>
    </w:rPr>
  </w:style>
  <w:style w:type="paragraph" w:customStyle="1" w:styleId="Pidipaginapari">
    <w:name w:val="Piè di pagina pari"/>
    <w:basedOn w:val="Pidipagina"/>
    <w:pPr>
      <w:pBdr>
        <w:bottom w:val="single" w:sz="6" w:space="1" w:color="auto"/>
      </w:pBdr>
      <w:spacing w:before="600"/>
    </w:pPr>
    <w:rPr>
      <w:b/>
    </w:rPr>
  </w:style>
  <w:style w:type="paragraph" w:customStyle="1" w:styleId="Pidipaginadispari">
    <w:name w:val="Piè di pagina dispari"/>
    <w:basedOn w:val="Pidipagina"/>
    <w:pPr>
      <w:pBdr>
        <w:bottom w:val="single" w:sz="6" w:space="1" w:color="auto"/>
      </w:pBdr>
      <w:spacing w:before="600"/>
    </w:pPr>
    <w:rPr>
      <w:b/>
    </w:rPr>
  </w:style>
  <w:style w:type="paragraph" w:customStyle="1" w:styleId="Primaintestazione">
    <w:name w:val="Prima intestazione"/>
    <w:basedOn w:val="Intestazione"/>
  </w:style>
  <w:style w:type="paragraph" w:customStyle="1" w:styleId="Intestazionepari">
    <w:name w:val="Intestazione pari"/>
    <w:basedOn w:val="Intestazione"/>
  </w:style>
  <w:style w:type="paragraph" w:customStyle="1" w:styleId="Intestazionedispari">
    <w:name w:val="Intestazione dispari"/>
    <w:basedOn w:val="Intestazione"/>
  </w:style>
  <w:style w:type="paragraph" w:customStyle="1" w:styleId="Etichettacapitolo">
    <w:name w:val="Etichetta capitolo"/>
    <w:basedOn w:val="BaseTitolo"/>
    <w:next w:val="Titolocapitolo"/>
    <w:pPr>
      <w:spacing w:before="770" w:after="440"/>
    </w:pPr>
    <w:rPr>
      <w:rFonts w:ascii="Times New Roman" w:hAnsi="Times New Roman"/>
      <w:spacing w:val="-30"/>
      <w:sz w:val="60"/>
    </w:rPr>
  </w:style>
  <w:style w:type="paragraph" w:customStyle="1" w:styleId="Titolocapitolo">
    <w:name w:val="Titolo capitolo"/>
    <w:basedOn w:val="BaseTitolo"/>
    <w:next w:val="Sottotitolocapitolo"/>
    <w:pPr>
      <w:spacing w:before="720" w:after="400" w:line="240" w:lineRule="auto"/>
      <w:ind w:right="2160"/>
    </w:pPr>
    <w:rPr>
      <w:rFonts w:ascii="Times New Roman" w:hAnsi="Times New Roman"/>
      <w:spacing w:val="-40"/>
      <w:sz w:val="60"/>
    </w:rPr>
  </w:style>
  <w:style w:type="paragraph" w:customStyle="1" w:styleId="Sottotitolocapitolo">
    <w:name w:val="Sottotitolo capitolo"/>
    <w:basedOn w:val="Titolocapitolo"/>
    <w:next w:val="Normale"/>
    <w:pPr>
      <w:spacing w:before="0" w:line="400" w:lineRule="atLeast"/>
    </w:pPr>
    <w:rPr>
      <w:i/>
      <w:spacing w:val="-14"/>
      <w:sz w:val="34"/>
    </w:rPr>
  </w:style>
  <w:style w:type="paragraph" w:styleId="Rientrocorpodeltesto">
    <w:name w:val="Body Text Indent"/>
    <w:basedOn w:val="Normale"/>
    <w:pPr>
      <w:ind w:left="1440"/>
    </w:pPr>
  </w:style>
  <w:style w:type="paragraph" w:styleId="Sottotitolo">
    <w:name w:val="Subtitle"/>
    <w:basedOn w:val="Titolo"/>
    <w:next w:val="Normale"/>
    <w:qFormat/>
    <w:rsid w:val="0057403D"/>
    <w:pPr>
      <w:spacing w:before="0" w:after="160" w:line="400" w:lineRule="atLeast"/>
    </w:pPr>
    <w:rPr>
      <w:i/>
      <w:spacing w:val="-14"/>
      <w:sz w:val="34"/>
    </w:rPr>
  </w:style>
  <w:style w:type="paragraph" w:styleId="Titolo">
    <w:name w:val="Title"/>
    <w:basedOn w:val="BaseTitolo"/>
    <w:next w:val="Sottotitolo"/>
    <w:link w:val="TitoloCarattere"/>
    <w:qFormat/>
    <w:rsid w:val="0057403D"/>
    <w:pPr>
      <w:spacing w:before="660" w:after="400" w:line="280" w:lineRule="atLeast"/>
    </w:pPr>
    <w:rPr>
      <w:rFonts w:ascii="Calibri" w:hAnsi="Calibri"/>
      <w:spacing w:val="0"/>
      <w:sz w:val="60"/>
    </w:rPr>
  </w:style>
  <w:style w:type="paragraph" w:styleId="Numeroelenco5">
    <w:name w:val="List Number 5"/>
    <w:basedOn w:val="Numeroelenco"/>
    <w:pPr>
      <w:ind w:left="3240"/>
    </w:pPr>
  </w:style>
  <w:style w:type="paragraph" w:styleId="Numeroelenco4">
    <w:name w:val="List Number 4"/>
    <w:basedOn w:val="Numeroelenco"/>
    <w:pPr>
      <w:ind w:left="2880"/>
    </w:pPr>
  </w:style>
  <w:style w:type="paragraph" w:styleId="Numeroelenco3">
    <w:name w:val="List Number 3"/>
    <w:basedOn w:val="Numeroelenco"/>
    <w:pPr>
      <w:ind w:left="2520"/>
    </w:pPr>
  </w:style>
  <w:style w:type="paragraph" w:styleId="Puntoelenco5">
    <w:name w:val="List Bullet 5"/>
    <w:basedOn w:val="Puntoelenco"/>
    <w:pPr>
      <w:ind w:left="3240"/>
    </w:pPr>
  </w:style>
  <w:style w:type="paragraph" w:styleId="Puntoelenco4">
    <w:name w:val="List Bullet 4"/>
    <w:basedOn w:val="Puntoelenco"/>
    <w:pPr>
      <w:ind w:left="2880"/>
    </w:pPr>
  </w:style>
  <w:style w:type="paragraph" w:styleId="Puntoelenco3">
    <w:name w:val="List Bullet 3"/>
    <w:basedOn w:val="Puntoelenco"/>
    <w:pPr>
      <w:ind w:left="2520"/>
    </w:pPr>
  </w:style>
  <w:style w:type="paragraph" w:styleId="Puntoelenco2">
    <w:name w:val="List Bullet 2"/>
    <w:basedOn w:val="Puntoelenco"/>
    <w:pPr>
      <w:ind w:left="2160"/>
    </w:pPr>
  </w:style>
  <w:style w:type="paragraph" w:styleId="Elenco5">
    <w:name w:val="List 5"/>
    <w:basedOn w:val="Elenco"/>
    <w:pPr>
      <w:ind w:left="2880"/>
    </w:pPr>
  </w:style>
  <w:style w:type="paragraph" w:styleId="Elenco4">
    <w:name w:val="List 4"/>
    <w:basedOn w:val="Elenco"/>
    <w:pPr>
      <w:ind w:left="2520"/>
    </w:pPr>
  </w:style>
  <w:style w:type="paragraph" w:styleId="Elenco3">
    <w:name w:val="List 3"/>
    <w:basedOn w:val="Elenco"/>
    <w:pPr>
      <w:ind w:left="2160"/>
    </w:pPr>
  </w:style>
  <w:style w:type="paragraph" w:styleId="Elenco2">
    <w:name w:val="List 2"/>
    <w:basedOn w:val="Elenco"/>
    <w:pPr>
      <w:ind w:left="1800"/>
    </w:pPr>
  </w:style>
  <w:style w:type="character" w:styleId="Enfasicorsivo">
    <w:name w:val="Emphasis"/>
    <w:qFormat/>
    <w:rPr>
      <w:rFonts w:ascii="Arial" w:hAnsi="Arial"/>
      <w:b/>
      <w:spacing w:val="-4"/>
    </w:rPr>
  </w:style>
  <w:style w:type="character" w:styleId="Rimandocommento">
    <w:name w:val="annotation reference"/>
    <w:semiHidden/>
    <w:rsid w:val="000D4239"/>
    <w:rPr>
      <w:rFonts w:ascii="Cambria" w:hAnsi="Cambria"/>
      <w:color w:val="000000"/>
      <w:sz w:val="16"/>
    </w:rPr>
  </w:style>
  <w:style w:type="paragraph" w:styleId="Testocommento">
    <w:name w:val="annotation text"/>
    <w:basedOn w:val="BasePidipagina"/>
    <w:semiHidden/>
  </w:style>
  <w:style w:type="paragraph" w:styleId="Numeroelenco2">
    <w:name w:val="List Number 2"/>
    <w:basedOn w:val="Numeroelenco"/>
    <w:pPr>
      <w:ind w:left="2160"/>
    </w:pPr>
  </w:style>
  <w:style w:type="paragraph" w:styleId="Elencocontinua">
    <w:name w:val="List Continue"/>
    <w:basedOn w:val="Elenco"/>
    <w:pPr>
      <w:ind w:left="1800" w:firstLine="0"/>
    </w:pPr>
  </w:style>
  <w:style w:type="paragraph" w:styleId="Elencocontinua2">
    <w:name w:val="List Continue 2"/>
    <w:basedOn w:val="Elencocontinua"/>
    <w:pPr>
      <w:ind w:left="2160"/>
    </w:pPr>
  </w:style>
  <w:style w:type="paragraph" w:styleId="Elencocontinua3">
    <w:name w:val="List Continue 3"/>
    <w:basedOn w:val="Elencocontinua"/>
    <w:pPr>
      <w:ind w:left="2520"/>
    </w:pPr>
  </w:style>
  <w:style w:type="paragraph" w:styleId="Elencocontinua4">
    <w:name w:val="List Continue 4"/>
    <w:basedOn w:val="Elencocontinua"/>
    <w:pPr>
      <w:ind w:left="2880"/>
    </w:pPr>
  </w:style>
  <w:style w:type="paragraph" w:styleId="Elencocontinua5">
    <w:name w:val="List Continue 5"/>
    <w:basedOn w:val="Elencocontinua"/>
    <w:pPr>
      <w:ind w:left="3240"/>
    </w:pPr>
  </w:style>
  <w:style w:type="paragraph" w:styleId="Rientronormale">
    <w:name w:val="Normal Indent"/>
    <w:basedOn w:val="Normale"/>
    <w:pPr>
      <w:ind w:left="1440"/>
    </w:pPr>
  </w:style>
  <w:style w:type="paragraph" w:customStyle="1" w:styleId="Mittente">
    <w:name w:val="Mittente"/>
    <w:basedOn w:val="Normale"/>
    <w:pPr>
      <w:keepLines/>
      <w:framePr w:w="2160" w:h="1195" w:wrap="notBeside" w:vAnchor="page" w:hAnchor="margin" w:xAlign="right" w:y="678" w:anchorLock="1"/>
    </w:pPr>
    <w:rPr>
      <w:sz w:val="16"/>
    </w:rPr>
  </w:style>
  <w:style w:type="character" w:customStyle="1" w:styleId="Slogan">
    <w:name w:val="Slogan"/>
    <w:rPr>
      <w:i/>
      <w:spacing w:val="-6"/>
      <w:sz w:val="24"/>
      <w:lang w:val="it-IT"/>
    </w:rPr>
  </w:style>
  <w:style w:type="paragraph" w:customStyle="1" w:styleId="Nomesociet">
    <w:name w:val="Nome società"/>
    <w:basedOn w:val="Etichettadocumento"/>
    <w:pPr>
      <w:spacing w:before="0"/>
    </w:pPr>
    <w:rPr>
      <w:rFonts w:ascii="Times" w:hAnsi="Times"/>
      <w:sz w:val="48"/>
    </w:rPr>
  </w:style>
  <w:style w:type="paragraph" w:customStyle="1" w:styleId="Etichettaparte">
    <w:name w:val="Etichetta parte"/>
    <w:basedOn w:val="BaseTitolo"/>
    <w:next w:val="Normale"/>
    <w:pPr>
      <w:spacing w:before="400" w:after="440"/>
    </w:pPr>
    <w:rPr>
      <w:rFonts w:ascii="Times New Roman" w:hAnsi="Times New Roman"/>
      <w:spacing w:val="-30"/>
      <w:sz w:val="60"/>
    </w:rPr>
  </w:style>
  <w:style w:type="paragraph" w:customStyle="1" w:styleId="Sottotitoloparte">
    <w:name w:val="Sottotitolo parte"/>
    <w:basedOn w:val="Normale"/>
    <w:next w:val="Normale"/>
    <w:pPr>
      <w:keepNext/>
      <w:keepLines/>
      <w:spacing w:after="160" w:line="400" w:lineRule="atLeast"/>
      <w:ind w:right="2160"/>
    </w:pPr>
    <w:rPr>
      <w:i/>
      <w:spacing w:val="-14"/>
      <w:kern w:val="28"/>
      <w:sz w:val="34"/>
    </w:rPr>
  </w:style>
  <w:style w:type="paragraph" w:customStyle="1" w:styleId="Titoloparte">
    <w:name w:val="Titolo parte"/>
    <w:basedOn w:val="BaseTitolo"/>
    <w:next w:val="Sottotitoloparte"/>
    <w:pPr>
      <w:spacing w:before="660" w:after="400" w:line="540" w:lineRule="atLeast"/>
      <w:ind w:right="2160"/>
    </w:pPr>
    <w:rPr>
      <w:rFonts w:ascii="Times New Roman" w:hAnsi="Times New Roman"/>
      <w:spacing w:val="-40"/>
      <w:sz w:val="60"/>
    </w:rPr>
  </w:style>
  <w:style w:type="paragraph" w:styleId="Indicefonti">
    <w:name w:val="table of authorities"/>
    <w:basedOn w:val="Normale"/>
    <w:semiHidden/>
    <w:pPr>
      <w:tabs>
        <w:tab w:val="right" w:leader="dot" w:pos="7560"/>
      </w:tabs>
      <w:ind w:left="1440" w:hanging="360"/>
    </w:pPr>
  </w:style>
  <w:style w:type="paragraph" w:styleId="Titoloindicefonti">
    <w:name w:val="toa heading"/>
    <w:basedOn w:val="Normale"/>
    <w:next w:val="Indicefonti"/>
    <w:semiHidden/>
    <w:pPr>
      <w:keepNext/>
      <w:spacing w:before="240" w:after="120" w:line="360" w:lineRule="exact"/>
    </w:pPr>
    <w:rPr>
      <w:rFonts w:ascii="Arial" w:hAnsi="Arial"/>
      <w:b/>
      <w:kern w:val="28"/>
      <w:sz w:val="28"/>
    </w:rPr>
  </w:style>
  <w:style w:type="paragraph" w:styleId="Intestazionemessaggio">
    <w:name w:val="Message Header"/>
    <w:basedOn w:val="Normale"/>
    <w:pPr>
      <w:keepLines/>
      <w:tabs>
        <w:tab w:val="left" w:pos="3600"/>
        <w:tab w:val="left" w:pos="4680"/>
      </w:tabs>
      <w:spacing w:after="120" w:line="280" w:lineRule="exact"/>
      <w:ind w:right="2160" w:hanging="1080"/>
    </w:pPr>
    <w:rPr>
      <w:rFonts w:ascii="Arial" w:hAnsi="Arial"/>
      <w:sz w:val="22"/>
    </w:rPr>
  </w:style>
  <w:style w:type="character" w:styleId="Collegamentoipertestuale">
    <w:name w:val="Hyperlink"/>
    <w:rPr>
      <w:color w:val="0000FF"/>
      <w:u w:val="single"/>
      <w:lang w:val="it-IT"/>
    </w:rPr>
  </w:style>
  <w:style w:type="character" w:styleId="Collegamentovisitato">
    <w:name w:val="FollowedHyperlink"/>
    <w:rPr>
      <w:color w:val="800080"/>
      <w:u w:val="single"/>
      <w:lang w:val="it-IT"/>
    </w:rPr>
  </w:style>
  <w:style w:type="paragraph" w:styleId="Data">
    <w:name w:val="Date"/>
    <w:basedOn w:val="Normale"/>
    <w:next w:val="Normale"/>
  </w:style>
  <w:style w:type="character" w:styleId="Enfasigrassetto">
    <w:name w:val="Strong"/>
    <w:qFormat/>
    <w:rPr>
      <w:b/>
      <w:bCs/>
      <w:lang w:val="it-IT"/>
    </w:rPr>
  </w:style>
  <w:style w:type="paragraph" w:styleId="Firma">
    <w:name w:val="Signature"/>
    <w:basedOn w:val="Normale"/>
    <w:pPr>
      <w:ind w:left="4320"/>
    </w:pPr>
  </w:style>
  <w:style w:type="paragraph" w:styleId="Firmadipostaelettronica">
    <w:name w:val="E-mail Signature"/>
    <w:basedOn w:val="Normale"/>
  </w:style>
  <w:style w:type="paragraph" w:styleId="Formuladiapertura">
    <w:name w:val="Salutation"/>
    <w:basedOn w:val="Normale"/>
    <w:next w:val="Normale"/>
  </w:style>
  <w:style w:type="paragraph" w:styleId="Formuladichiusura">
    <w:name w:val="Closing"/>
    <w:basedOn w:val="Normale"/>
    <w:pPr>
      <w:ind w:left="4320"/>
    </w:pPr>
  </w:style>
  <w:style w:type="paragraph" w:styleId="Indice6">
    <w:name w:val="index 6"/>
    <w:basedOn w:val="Normale"/>
    <w:next w:val="Normale"/>
    <w:autoRedefine/>
    <w:semiHidden/>
    <w:pPr>
      <w:ind w:left="1200" w:hanging="200"/>
    </w:pPr>
  </w:style>
  <w:style w:type="paragraph" w:styleId="Indice7">
    <w:name w:val="index 7"/>
    <w:basedOn w:val="Normale"/>
    <w:next w:val="Normale"/>
    <w:autoRedefine/>
    <w:semiHidden/>
    <w:pPr>
      <w:ind w:left="1400" w:hanging="200"/>
    </w:pPr>
  </w:style>
  <w:style w:type="paragraph" w:styleId="Indice8">
    <w:name w:val="index 8"/>
    <w:basedOn w:val="Normale"/>
    <w:next w:val="Normale"/>
    <w:autoRedefine/>
    <w:semiHidden/>
    <w:pPr>
      <w:ind w:left="1600" w:hanging="200"/>
    </w:pPr>
  </w:style>
  <w:style w:type="paragraph" w:styleId="Indice9">
    <w:name w:val="index 9"/>
    <w:basedOn w:val="Normale"/>
    <w:next w:val="Normale"/>
    <w:autoRedefine/>
    <w:semiHidden/>
    <w:pPr>
      <w:ind w:left="1800" w:hanging="200"/>
    </w:pPr>
  </w:style>
  <w:style w:type="paragraph" w:styleId="Indirizzodestinatario">
    <w:name w:val="envelope address"/>
    <w:basedOn w:val="Normale"/>
    <w:pPr>
      <w:framePr w:w="7920" w:h="1980" w:hRule="exact" w:hSpace="141" w:wrap="auto" w:hAnchor="page" w:xAlign="center" w:yAlign="bottom"/>
      <w:ind w:left="2880"/>
    </w:pPr>
    <w:rPr>
      <w:rFonts w:ascii="Arial" w:hAnsi="Arial" w:cs="Arial"/>
      <w:sz w:val="24"/>
      <w:szCs w:val="24"/>
    </w:rPr>
  </w:style>
  <w:style w:type="paragraph" w:styleId="IndirizzoHTML">
    <w:name w:val="HTML Address"/>
    <w:basedOn w:val="Normale"/>
    <w:rPr>
      <w:i/>
      <w:iCs/>
    </w:rPr>
  </w:style>
  <w:style w:type="paragraph" w:styleId="Indirizzomittente">
    <w:name w:val="envelope return"/>
    <w:basedOn w:val="Normale"/>
    <w:rPr>
      <w:rFonts w:ascii="Arial" w:hAnsi="Arial" w:cs="Arial"/>
    </w:rPr>
  </w:style>
  <w:style w:type="paragraph" w:styleId="Intestazionenota">
    <w:name w:val="Note Heading"/>
    <w:basedOn w:val="Normale"/>
    <w:next w:val="Normale"/>
  </w:style>
  <w:style w:type="character" w:styleId="MacchinadascrivereHTML">
    <w:name w:val="HTML Typewriter"/>
    <w:rPr>
      <w:rFonts w:ascii="Courier New" w:hAnsi="Courier New"/>
      <w:sz w:val="20"/>
      <w:szCs w:val="20"/>
      <w:lang w:val="it-IT"/>
    </w:rPr>
  </w:style>
  <w:style w:type="paragraph" w:styleId="Mappadocumento">
    <w:name w:val="Document Map"/>
    <w:basedOn w:val="Normale"/>
    <w:semiHidden/>
    <w:pPr>
      <w:shd w:val="clear" w:color="auto" w:fill="000080"/>
    </w:pPr>
    <w:rPr>
      <w:rFonts w:ascii="Tahoma" w:hAnsi="Tahoma" w:cs="Tahoma"/>
    </w:rPr>
  </w:style>
  <w:style w:type="paragraph" w:styleId="PreformattatoHTML">
    <w:name w:val="HTML Preformatted"/>
    <w:basedOn w:val="Normale"/>
    <w:rPr>
      <w:rFonts w:ascii="Courier New" w:hAnsi="Courier New" w:cs="Courier New"/>
    </w:rPr>
  </w:style>
  <w:style w:type="paragraph" w:styleId="Primorientrocorpodeltesto">
    <w:name w:val="Body Text First Indent"/>
    <w:basedOn w:val="Normale"/>
    <w:pPr>
      <w:spacing w:after="120" w:line="240" w:lineRule="auto"/>
      <w:ind w:firstLine="210"/>
    </w:pPr>
  </w:style>
  <w:style w:type="paragraph" w:styleId="Primorientrocorpodeltesto2">
    <w:name w:val="Body Text First Indent 2"/>
    <w:basedOn w:val="Rientrocorpodeltesto"/>
    <w:pPr>
      <w:spacing w:after="120" w:line="240" w:lineRule="auto"/>
      <w:ind w:left="360" w:firstLine="210"/>
    </w:pPr>
  </w:style>
  <w:style w:type="paragraph" w:styleId="Rientrocorpodeltesto2">
    <w:name w:val="Body Text Indent 2"/>
    <w:basedOn w:val="Normale"/>
    <w:pPr>
      <w:spacing w:after="120" w:line="480" w:lineRule="auto"/>
      <w:ind w:left="360"/>
    </w:pPr>
  </w:style>
  <w:style w:type="paragraph" w:styleId="Rientrocorpodeltesto3">
    <w:name w:val="Body Text Indent 3"/>
    <w:basedOn w:val="Normale"/>
    <w:pPr>
      <w:spacing w:after="120"/>
      <w:ind w:left="360"/>
    </w:pPr>
    <w:rPr>
      <w:sz w:val="16"/>
      <w:szCs w:val="16"/>
    </w:rPr>
  </w:style>
  <w:style w:type="paragraph" w:styleId="Sommario6">
    <w:name w:val="toc 6"/>
    <w:basedOn w:val="Normale"/>
    <w:next w:val="Normale"/>
    <w:autoRedefine/>
    <w:semiHidden/>
    <w:pPr>
      <w:ind w:left="1000"/>
    </w:pPr>
  </w:style>
  <w:style w:type="paragraph" w:styleId="Sommario7">
    <w:name w:val="toc 7"/>
    <w:basedOn w:val="Normale"/>
    <w:next w:val="Normale"/>
    <w:autoRedefine/>
    <w:semiHidden/>
    <w:pPr>
      <w:ind w:left="1200"/>
    </w:pPr>
  </w:style>
  <w:style w:type="paragraph" w:styleId="Sommario8">
    <w:name w:val="toc 8"/>
    <w:basedOn w:val="Normale"/>
    <w:next w:val="Normale"/>
    <w:autoRedefine/>
    <w:semiHidden/>
    <w:pPr>
      <w:ind w:left="1400"/>
    </w:pPr>
  </w:style>
  <w:style w:type="paragraph" w:styleId="Sommario9">
    <w:name w:val="toc 9"/>
    <w:basedOn w:val="Normale"/>
    <w:next w:val="Normale"/>
    <w:autoRedefine/>
    <w:semiHidden/>
    <w:pPr>
      <w:ind w:left="1600"/>
    </w:pPr>
  </w:style>
  <w:style w:type="paragraph" w:styleId="Testodelblocco">
    <w:name w:val="Block Text"/>
    <w:basedOn w:val="Normale"/>
    <w:pPr>
      <w:spacing w:after="120"/>
      <w:ind w:left="1440" w:right="1440"/>
    </w:pPr>
  </w:style>
  <w:style w:type="paragraph" w:styleId="Testonormale">
    <w:name w:val="Plain Text"/>
    <w:basedOn w:val="Normale"/>
    <w:rPr>
      <w:rFonts w:ascii="Courier New" w:hAnsi="Courier New" w:cs="Courier New"/>
    </w:rPr>
  </w:style>
  <w:style w:type="paragraph" w:customStyle="1" w:styleId="ListBullet1">
    <w:name w:val="List Bullet1"/>
    <w:basedOn w:val="Normale"/>
    <w:pPr>
      <w:spacing w:before="100" w:beforeAutospacing="1" w:after="100" w:afterAutospacing="1"/>
    </w:pPr>
    <w:rPr>
      <w:sz w:val="24"/>
      <w:szCs w:val="24"/>
      <w:lang w:eastAsia="it-IT"/>
    </w:rPr>
  </w:style>
  <w:style w:type="character" w:customStyle="1" w:styleId="Titolo1Carattere">
    <w:name w:val="Titolo 1 Carattere"/>
    <w:link w:val="Titolo1"/>
    <w:uiPriority w:val="9"/>
    <w:rsid w:val="0057403D"/>
    <w:rPr>
      <w:rFonts w:ascii="Calibri" w:hAnsi="Calibri"/>
      <w:b/>
      <w:bCs/>
      <w:color w:val="000000"/>
      <w:kern w:val="28"/>
      <w:sz w:val="40"/>
      <w:szCs w:val="28"/>
      <w:lang w:eastAsia="en-US"/>
    </w:rPr>
  </w:style>
  <w:style w:type="character" w:customStyle="1" w:styleId="Titolo2Carattere">
    <w:name w:val="Titolo 2 Carattere"/>
    <w:link w:val="Titolo2"/>
    <w:uiPriority w:val="9"/>
    <w:rsid w:val="0057403D"/>
    <w:rPr>
      <w:rFonts w:ascii="Calibri" w:hAnsi="Calibri"/>
      <w:b/>
      <w:bCs/>
      <w:color w:val="000000"/>
      <w:kern w:val="28"/>
      <w:sz w:val="36"/>
      <w:szCs w:val="26"/>
      <w:lang w:eastAsia="en-US"/>
    </w:rPr>
  </w:style>
  <w:style w:type="character" w:customStyle="1" w:styleId="Titolo3Carattere">
    <w:name w:val="Titolo 3 Carattere"/>
    <w:link w:val="Titolo3"/>
    <w:uiPriority w:val="9"/>
    <w:rsid w:val="0057403D"/>
    <w:rPr>
      <w:rFonts w:ascii="Calibri" w:hAnsi="Calibri"/>
      <w:b/>
      <w:bCs/>
      <w:color w:val="000000"/>
      <w:kern w:val="28"/>
      <w:sz w:val="32"/>
      <w:szCs w:val="22"/>
      <w:lang w:eastAsia="en-US"/>
    </w:rPr>
  </w:style>
  <w:style w:type="character" w:customStyle="1" w:styleId="Titolo4Carattere">
    <w:name w:val="Titolo 4 Carattere"/>
    <w:link w:val="Titolo4"/>
    <w:uiPriority w:val="9"/>
    <w:rsid w:val="0057403D"/>
    <w:rPr>
      <w:rFonts w:ascii="Calibri" w:hAnsi="Calibri"/>
      <w:b/>
      <w:bCs/>
      <w:iCs/>
      <w:color w:val="000000"/>
      <w:kern w:val="28"/>
      <w:sz w:val="28"/>
      <w:szCs w:val="22"/>
      <w:lang w:eastAsia="en-US"/>
    </w:rPr>
  </w:style>
  <w:style w:type="character" w:customStyle="1" w:styleId="Titolo5Carattere">
    <w:name w:val="Titolo 5 Carattere"/>
    <w:link w:val="Titolo5"/>
    <w:uiPriority w:val="9"/>
    <w:rsid w:val="0057403D"/>
    <w:rPr>
      <w:rFonts w:ascii="Calibri" w:hAnsi="Calibri"/>
      <w:b/>
      <w:color w:val="000000"/>
      <w:kern w:val="28"/>
      <w:sz w:val="26"/>
      <w:szCs w:val="22"/>
      <w:lang w:eastAsia="en-US"/>
    </w:rPr>
  </w:style>
  <w:style w:type="character" w:customStyle="1" w:styleId="Titolo6Carattere">
    <w:name w:val="Titolo 6 Carattere"/>
    <w:link w:val="Titolo6"/>
    <w:uiPriority w:val="9"/>
    <w:rsid w:val="0057403D"/>
    <w:rPr>
      <w:rFonts w:ascii="Calibri" w:hAnsi="Calibri"/>
      <w:b/>
      <w:i/>
      <w:iCs/>
      <w:color w:val="000000"/>
      <w:kern w:val="28"/>
      <w:sz w:val="24"/>
      <w:szCs w:val="22"/>
      <w:lang w:eastAsia="en-US"/>
    </w:rPr>
  </w:style>
  <w:style w:type="character" w:customStyle="1" w:styleId="Titolo7Carattere">
    <w:name w:val="Titolo 7 Carattere"/>
    <w:link w:val="Titolo7"/>
    <w:uiPriority w:val="9"/>
    <w:rsid w:val="0057403D"/>
    <w:rPr>
      <w:rFonts w:ascii="Calibri" w:hAnsi="Calibri"/>
      <w:iCs/>
      <w:color w:val="000000"/>
      <w:kern w:val="28"/>
      <w:sz w:val="24"/>
      <w:szCs w:val="22"/>
      <w:lang w:eastAsia="en-US"/>
    </w:rPr>
  </w:style>
  <w:style w:type="character" w:customStyle="1" w:styleId="Titolo8Carattere">
    <w:name w:val="Titolo 8 Carattere"/>
    <w:link w:val="Titolo8"/>
    <w:uiPriority w:val="9"/>
    <w:rsid w:val="0057403D"/>
    <w:rPr>
      <w:rFonts w:ascii="Calibri" w:hAnsi="Calibri"/>
      <w:i/>
      <w:color w:val="000000"/>
      <w:kern w:val="28"/>
      <w:sz w:val="24"/>
      <w:lang w:eastAsia="en-US"/>
    </w:rPr>
  </w:style>
  <w:style w:type="character" w:customStyle="1" w:styleId="Titolo9Carattere">
    <w:name w:val="Titolo 9 Carattere"/>
    <w:link w:val="Titolo9"/>
    <w:uiPriority w:val="9"/>
    <w:rsid w:val="0057403D"/>
    <w:rPr>
      <w:rFonts w:ascii="Calibri" w:hAnsi="Calibri"/>
      <w:i/>
      <w:iCs/>
      <w:color w:val="000000"/>
      <w:kern w:val="28"/>
      <w:sz w:val="22"/>
      <w:lang w:eastAsia="en-US"/>
    </w:rPr>
  </w:style>
  <w:style w:type="paragraph" w:customStyle="1" w:styleId="Corsivo">
    <w:name w:val="Corsivo"/>
    <w:basedOn w:val="Normale"/>
    <w:qFormat/>
    <w:rsid w:val="0057403D"/>
    <w:rPr>
      <w:i/>
    </w:rPr>
  </w:style>
  <w:style w:type="paragraph" w:customStyle="1" w:styleId="Ragionesociale">
    <w:name w:val="Ragione sociale"/>
    <w:basedOn w:val="Titolo"/>
    <w:qFormat/>
    <w:rsid w:val="0057403D"/>
    <w:rPr>
      <w:sz w:val="48"/>
    </w:rPr>
  </w:style>
  <w:style w:type="character" w:customStyle="1" w:styleId="TitoloCarattere">
    <w:name w:val="Titolo Carattere"/>
    <w:basedOn w:val="Carpredefinitoparagrafo"/>
    <w:link w:val="Titolo"/>
    <w:rsid w:val="0057403D"/>
    <w:rPr>
      <w:rFonts w:ascii="Calibri" w:eastAsia="Calibri" w:hAnsi="Calibri"/>
      <w:color w:val="000000"/>
      <w:kern w:val="28"/>
      <w:sz w:val="60"/>
      <w:szCs w:val="22"/>
      <w:lang w:eastAsia="en-US"/>
    </w:rPr>
  </w:style>
  <w:style w:type="paragraph" w:customStyle="1" w:styleId="Titolocentrato">
    <w:name w:val="Titolo centrato"/>
    <w:basedOn w:val="Titolo"/>
    <w:qFormat/>
    <w:rsid w:val="0057403D"/>
    <w:pPr>
      <w:spacing w:line="240" w:lineRule="auto"/>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6416</Words>
  <Characters>36572</Characters>
  <Application>Microsoft Office Word</Application>
  <DocSecurity>0</DocSecurity>
  <PresentationFormat/>
  <Lines>304</Lines>
  <Paragraphs>85</Paragraphs>
  <Slides>0</Slides>
  <Notes>0</Notes>
  <HiddenSlides>0</HiddenSlides>
  <MMClips>0</MMClips>
  <ScaleCrop>false</ScaleCrop>
  <HeadingPairs>
    <vt:vector size="2" baseType="variant">
      <vt:variant>
        <vt:lpstr>Titolo</vt:lpstr>
      </vt:variant>
      <vt:variant>
        <vt:i4>1</vt:i4>
      </vt:variant>
    </vt:vector>
  </HeadingPairs>
  <TitlesOfParts>
    <vt:vector size="1" baseType="lpstr">
      <vt:lpstr>Modello Bilanci 3</vt:lpstr>
    </vt:vector>
  </TitlesOfParts>
  <Manager/>
  <Company/>
  <LinksUpToDate>false</LinksUpToDate>
  <CharactersWithSpaces>42903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Bilanci 3</dc:title>
  <dc:subject/>
  <dc:creator/>
  <cp:keywords/>
  <dc:description/>
  <cp:lastModifiedBy/>
  <cp:revision>1</cp:revision>
  <cp:lastPrinted>2006-11-03T11:26:00Z</cp:lastPrinted>
  <dcterms:created xsi:type="dcterms:W3CDTF">2026-06-22T20:21:00Z</dcterms:created>
  <dcterms:modified xsi:type="dcterms:W3CDTF">2026-06-22T20:21:00Z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1040</vt:i4>
  </property>
  <property fmtid="{D5CDD505-2E9C-101B-9397-08002B2CF9AE}" pid="3" name="Version">
    <vt:i4>2003051900</vt:i4>
  </property>
  <property fmtid="{D5CDD505-2E9C-101B-9397-08002B2CF9AE}" pid="4" name="UseDefaultLanguage">
    <vt:bool>true</vt:bool>
  </property>
</Properties>
</file>